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D4" w:rsidRDefault="00EA12D4" w:rsidP="00726E2B">
      <w:pPr>
        <w:spacing w:line="240" w:lineRule="auto"/>
        <w:ind w:right="-856"/>
        <w:rPr>
          <w:rFonts w:cs="Arial"/>
          <w:i/>
          <w:color w:val="0070C0"/>
          <w:sz w:val="14"/>
          <w:szCs w:val="24"/>
        </w:rPr>
      </w:pPr>
    </w:p>
    <w:p w:rsidR="00726E2B" w:rsidRDefault="00726E2B" w:rsidP="00EA12D4">
      <w:pPr>
        <w:spacing w:line="240" w:lineRule="auto"/>
        <w:ind w:right="-856"/>
        <w:jc w:val="center"/>
        <w:rPr>
          <w:rFonts w:cs="Arial"/>
          <w:i/>
          <w:color w:val="0070C0"/>
          <w:sz w:val="14"/>
          <w:szCs w:val="24"/>
        </w:rPr>
      </w:pPr>
    </w:p>
    <w:p w:rsidR="00726E2B" w:rsidRDefault="00726E2B" w:rsidP="00EA12D4">
      <w:pPr>
        <w:spacing w:line="240" w:lineRule="auto"/>
        <w:ind w:right="-856"/>
        <w:jc w:val="center"/>
        <w:rPr>
          <w:rFonts w:cs="Arial"/>
          <w:i/>
          <w:color w:val="0070C0"/>
          <w:sz w:val="14"/>
          <w:szCs w:val="24"/>
        </w:rPr>
      </w:pPr>
    </w:p>
    <w:p w:rsidR="00726E2B" w:rsidRPr="00EA12D4" w:rsidRDefault="00726E2B" w:rsidP="00EA12D4">
      <w:pPr>
        <w:spacing w:line="240" w:lineRule="auto"/>
        <w:ind w:right="-856"/>
        <w:jc w:val="center"/>
        <w:rPr>
          <w:rFonts w:cs="Arial"/>
          <w:i/>
          <w:color w:val="0070C0"/>
          <w:sz w:val="14"/>
          <w:szCs w:val="24"/>
        </w:rPr>
      </w:pPr>
    </w:p>
    <w:p w:rsidR="00C61F76" w:rsidRDefault="004F5206" w:rsidP="00EA12D4">
      <w:pPr>
        <w:spacing w:line="360" w:lineRule="auto"/>
        <w:jc w:val="center"/>
        <w:rPr>
          <w:rFonts w:cs="Arial"/>
          <w:b/>
          <w:smallCaps/>
          <w:sz w:val="36"/>
          <w:szCs w:val="32"/>
        </w:rPr>
      </w:pPr>
      <w:r>
        <w:rPr>
          <w:rFonts w:cs="Arial"/>
          <w:b/>
          <w:smallCaps/>
          <w:sz w:val="36"/>
          <w:szCs w:val="32"/>
        </w:rPr>
        <w:t>RELATÓRIO</w:t>
      </w:r>
    </w:p>
    <w:p w:rsidR="00726E2B" w:rsidRPr="003439FF" w:rsidRDefault="0093510B" w:rsidP="00EA12D4">
      <w:pPr>
        <w:spacing w:line="360" w:lineRule="auto"/>
        <w:jc w:val="center"/>
        <w:rPr>
          <w:rFonts w:cs="Arial"/>
          <w:b/>
          <w:smallCaps/>
          <w:sz w:val="36"/>
          <w:szCs w:val="32"/>
        </w:rPr>
      </w:pPr>
      <w:r w:rsidRPr="003439FF">
        <w:rPr>
          <w:rFonts w:cs="Arial"/>
          <w:b/>
          <w:smallCaps/>
          <w:sz w:val="36"/>
          <w:szCs w:val="32"/>
        </w:rPr>
        <w:t xml:space="preserve">REGULARIZAÇÃO FUNDIÁRIA </w:t>
      </w:r>
    </w:p>
    <w:p w:rsidR="0093510B" w:rsidRDefault="002536B0" w:rsidP="00EA12D4">
      <w:pPr>
        <w:spacing w:line="360" w:lineRule="auto"/>
        <w:jc w:val="center"/>
        <w:rPr>
          <w:rFonts w:cs="Arial"/>
          <w:b/>
          <w:smallCaps/>
          <w:sz w:val="36"/>
          <w:szCs w:val="32"/>
        </w:rPr>
      </w:pPr>
      <w:r>
        <w:rPr>
          <w:rFonts w:cs="Arial"/>
          <w:b/>
          <w:smallCaps/>
          <w:sz w:val="36"/>
          <w:szCs w:val="32"/>
        </w:rPr>
        <w:t xml:space="preserve">DE TERRITÓRIOS </w:t>
      </w:r>
      <w:r w:rsidR="0093510B" w:rsidRPr="003439FF">
        <w:rPr>
          <w:rFonts w:cs="Arial"/>
          <w:b/>
          <w:smallCaps/>
          <w:sz w:val="36"/>
          <w:szCs w:val="32"/>
        </w:rPr>
        <w:t xml:space="preserve"> QUILOMBOLAS</w:t>
      </w:r>
    </w:p>
    <w:p w:rsidR="007B7F77" w:rsidRPr="003439FF" w:rsidRDefault="00582A44" w:rsidP="00EA12D4">
      <w:pPr>
        <w:spacing w:line="360" w:lineRule="auto"/>
        <w:jc w:val="center"/>
        <w:rPr>
          <w:rFonts w:cs="Arial"/>
          <w:b/>
          <w:smallCaps/>
          <w:sz w:val="36"/>
          <w:szCs w:val="32"/>
        </w:rPr>
      </w:pPr>
      <w:r>
        <w:rPr>
          <w:rFonts w:cs="Arial"/>
          <w:b/>
          <w:smallCaps/>
          <w:noProof/>
          <w:sz w:val="36"/>
          <w:szCs w:val="32"/>
          <w:lang w:eastAsia="pt-BR"/>
        </w:rPr>
        <w:drawing>
          <wp:inline distT="0" distB="0" distL="0" distR="0">
            <wp:extent cx="4218432" cy="353568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8 copiar.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18432" cy="3535680"/>
                    </a:xfrm>
                    <a:prstGeom prst="rect">
                      <a:avLst/>
                    </a:prstGeom>
                  </pic:spPr>
                </pic:pic>
              </a:graphicData>
            </a:graphic>
          </wp:inline>
        </w:drawing>
      </w:r>
    </w:p>
    <w:p w:rsidR="00C61F76" w:rsidRDefault="00C61F76" w:rsidP="00C61528">
      <w:pPr>
        <w:spacing w:line="360" w:lineRule="auto"/>
        <w:ind w:right="-856"/>
        <w:rPr>
          <w:rFonts w:cs="Arial"/>
          <w:b/>
          <w:i/>
          <w:color w:val="548DD4"/>
          <w:sz w:val="28"/>
          <w:szCs w:val="24"/>
          <w:u w:val="single"/>
        </w:rPr>
      </w:pPr>
    </w:p>
    <w:p w:rsidR="00C61F76" w:rsidRPr="00EA12D4" w:rsidRDefault="00C61F76" w:rsidP="00C61528">
      <w:pPr>
        <w:spacing w:line="360" w:lineRule="auto"/>
        <w:ind w:right="-856"/>
        <w:rPr>
          <w:rFonts w:cs="Arial"/>
          <w:b/>
          <w:i/>
          <w:color w:val="548DD4"/>
          <w:sz w:val="28"/>
          <w:szCs w:val="24"/>
          <w:u w:val="single"/>
        </w:rPr>
      </w:pPr>
    </w:p>
    <w:p w:rsidR="004F5206" w:rsidRDefault="004F5206" w:rsidP="00726E2B">
      <w:pPr>
        <w:spacing w:line="360" w:lineRule="auto"/>
        <w:jc w:val="center"/>
        <w:rPr>
          <w:rFonts w:cs="Arial"/>
          <w:b/>
          <w:sz w:val="24"/>
          <w:szCs w:val="32"/>
        </w:rPr>
      </w:pPr>
    </w:p>
    <w:p w:rsidR="00734EFE" w:rsidRDefault="00734EFE" w:rsidP="00726E2B">
      <w:pPr>
        <w:spacing w:line="360" w:lineRule="auto"/>
        <w:jc w:val="center"/>
        <w:rPr>
          <w:rFonts w:cs="Arial"/>
          <w:b/>
          <w:sz w:val="24"/>
          <w:szCs w:val="32"/>
        </w:rPr>
      </w:pPr>
    </w:p>
    <w:p w:rsidR="00734EFE" w:rsidRDefault="00734EFE" w:rsidP="00726E2B">
      <w:pPr>
        <w:spacing w:line="360" w:lineRule="auto"/>
        <w:jc w:val="center"/>
        <w:rPr>
          <w:rFonts w:cs="Arial"/>
          <w:b/>
          <w:sz w:val="24"/>
          <w:szCs w:val="32"/>
        </w:rPr>
      </w:pPr>
    </w:p>
    <w:p w:rsidR="004F5206" w:rsidRDefault="004F5206" w:rsidP="00726E2B">
      <w:pPr>
        <w:spacing w:line="360" w:lineRule="auto"/>
        <w:jc w:val="center"/>
        <w:rPr>
          <w:rFonts w:cs="Arial"/>
          <w:b/>
          <w:sz w:val="24"/>
          <w:szCs w:val="32"/>
        </w:rPr>
      </w:pPr>
    </w:p>
    <w:p w:rsidR="00EA12D4" w:rsidRPr="005C18D3" w:rsidRDefault="00EA12D4" w:rsidP="00726E2B">
      <w:pPr>
        <w:spacing w:line="360" w:lineRule="auto"/>
        <w:jc w:val="center"/>
        <w:rPr>
          <w:rFonts w:cs="Arial"/>
          <w:b/>
          <w:i/>
          <w:sz w:val="24"/>
          <w:szCs w:val="32"/>
          <w:u w:val="single"/>
        </w:rPr>
      </w:pPr>
      <w:r w:rsidRPr="005C18D3">
        <w:rPr>
          <w:rFonts w:cs="Arial"/>
          <w:b/>
          <w:sz w:val="24"/>
          <w:szCs w:val="32"/>
        </w:rPr>
        <w:lastRenderedPageBreak/>
        <w:t>INSTITUTO DE TERRAS E REFORMA AGRÁRIA DO ESTADO DE PERNAMBUCO</w:t>
      </w:r>
      <w:r w:rsidR="005C18D3">
        <w:rPr>
          <w:rFonts w:cs="Arial"/>
          <w:b/>
          <w:sz w:val="24"/>
          <w:szCs w:val="32"/>
        </w:rPr>
        <w:t xml:space="preserve"> - ITERPE</w:t>
      </w:r>
    </w:p>
    <w:p w:rsidR="00C142E0" w:rsidRPr="00851CCB" w:rsidRDefault="00C142E0" w:rsidP="005C18D3">
      <w:pPr>
        <w:spacing w:line="360" w:lineRule="auto"/>
        <w:jc w:val="both"/>
        <w:rPr>
          <w:rFonts w:ascii="Arial" w:hAnsi="Arial" w:cs="Arial"/>
          <w:b/>
          <w:smallCaps/>
          <w:sz w:val="24"/>
          <w:szCs w:val="24"/>
        </w:rPr>
      </w:pPr>
      <w:r w:rsidRPr="00851CCB">
        <w:rPr>
          <w:rFonts w:ascii="Arial" w:hAnsi="Arial" w:cs="Arial"/>
          <w:b/>
          <w:smallCaps/>
          <w:sz w:val="24"/>
          <w:szCs w:val="24"/>
        </w:rPr>
        <w:t>Introdução</w:t>
      </w:r>
    </w:p>
    <w:p w:rsidR="001B2584" w:rsidRPr="00851CCB" w:rsidRDefault="004710EB" w:rsidP="003F3323">
      <w:pPr>
        <w:spacing w:line="360" w:lineRule="auto"/>
        <w:ind w:firstLine="708"/>
        <w:jc w:val="both"/>
        <w:rPr>
          <w:rFonts w:ascii="Arial" w:hAnsi="Arial" w:cs="Arial"/>
          <w:sz w:val="24"/>
          <w:szCs w:val="24"/>
        </w:rPr>
      </w:pPr>
      <w:r w:rsidRPr="00851CCB">
        <w:rPr>
          <w:rFonts w:ascii="Arial" w:hAnsi="Arial" w:cs="Arial"/>
          <w:sz w:val="24"/>
          <w:szCs w:val="24"/>
        </w:rPr>
        <w:t xml:space="preserve">O Programa Brasil </w:t>
      </w:r>
      <w:r w:rsidR="00736DCD" w:rsidRPr="00851CCB">
        <w:rPr>
          <w:rFonts w:ascii="Arial" w:hAnsi="Arial" w:cs="Arial"/>
          <w:sz w:val="24"/>
          <w:szCs w:val="24"/>
        </w:rPr>
        <w:t xml:space="preserve">Quilombola apresenta as ações do Governo Federal para as comunidades remanescentes de quilombos. Entre </w:t>
      </w:r>
      <w:r w:rsidR="00EA12D4" w:rsidRPr="00851CCB">
        <w:rPr>
          <w:rFonts w:ascii="Arial" w:hAnsi="Arial" w:cs="Arial"/>
          <w:sz w:val="24"/>
          <w:szCs w:val="24"/>
        </w:rPr>
        <w:t>as ações previstas no Programa</w:t>
      </w:r>
      <w:r w:rsidR="00736DCD" w:rsidRPr="00851CCB">
        <w:rPr>
          <w:rFonts w:ascii="Arial" w:hAnsi="Arial" w:cs="Arial"/>
          <w:sz w:val="24"/>
          <w:szCs w:val="24"/>
        </w:rPr>
        <w:t xml:space="preserve">, </w:t>
      </w:r>
      <w:r w:rsidR="00EA12D4" w:rsidRPr="00851CCB">
        <w:rPr>
          <w:rFonts w:ascii="Arial" w:hAnsi="Arial" w:cs="Arial"/>
          <w:sz w:val="24"/>
          <w:szCs w:val="24"/>
        </w:rPr>
        <w:t xml:space="preserve">consta </w:t>
      </w:r>
      <w:r w:rsidR="00736DCD" w:rsidRPr="00851CCB">
        <w:rPr>
          <w:rFonts w:ascii="Arial" w:hAnsi="Arial" w:cs="Arial"/>
          <w:sz w:val="24"/>
          <w:szCs w:val="24"/>
        </w:rPr>
        <w:t>a Regularização Fundiária</w:t>
      </w:r>
      <w:r w:rsidR="00C92175" w:rsidRPr="00851CCB">
        <w:rPr>
          <w:rFonts w:ascii="Arial" w:hAnsi="Arial" w:cs="Arial"/>
          <w:sz w:val="24"/>
          <w:szCs w:val="24"/>
        </w:rPr>
        <w:t xml:space="preserve">, </w:t>
      </w:r>
      <w:r w:rsidR="00C142E0" w:rsidRPr="00851CCB">
        <w:rPr>
          <w:rFonts w:ascii="Arial" w:hAnsi="Arial" w:cs="Arial"/>
          <w:sz w:val="24"/>
          <w:szCs w:val="24"/>
        </w:rPr>
        <w:t xml:space="preserve">com a finalidade de registrar a propriedade das terras reivindicadas em nome das associações das comunidades quilombolas. A execução do processo se dá </w:t>
      </w:r>
      <w:r w:rsidR="00C92175" w:rsidRPr="00851CCB">
        <w:rPr>
          <w:rFonts w:ascii="Arial" w:hAnsi="Arial" w:cs="Arial"/>
          <w:sz w:val="24"/>
          <w:szCs w:val="24"/>
        </w:rPr>
        <w:t xml:space="preserve">através dos Relatórios Técnicos de Identificação e Delimitação (RTIDs), executados pelo </w:t>
      </w:r>
      <w:r w:rsidR="005C18D3" w:rsidRPr="00851CCB">
        <w:rPr>
          <w:rFonts w:ascii="Arial" w:hAnsi="Arial" w:cs="Arial"/>
          <w:sz w:val="24"/>
          <w:szCs w:val="24"/>
        </w:rPr>
        <w:t>INCRA</w:t>
      </w:r>
      <w:r w:rsidR="00C92175" w:rsidRPr="00851CCB">
        <w:rPr>
          <w:rFonts w:ascii="Arial" w:hAnsi="Arial" w:cs="Arial"/>
          <w:sz w:val="24"/>
          <w:szCs w:val="24"/>
        </w:rPr>
        <w:t>, de acordo com o Decreto Federal Nº 4.887, em parceria com os Órgãos de Terras dos governos estaduais. Estes relatórios são constituídos de várias peças documentais, a saber</w:t>
      </w:r>
      <w:r w:rsidR="00BB461C" w:rsidRPr="00851CCB">
        <w:rPr>
          <w:rFonts w:ascii="Arial" w:hAnsi="Arial" w:cs="Arial"/>
          <w:sz w:val="24"/>
          <w:szCs w:val="24"/>
        </w:rPr>
        <w:t>, resumidamente</w:t>
      </w:r>
      <w:r w:rsidR="00C92175" w:rsidRPr="00851CCB">
        <w:rPr>
          <w:rFonts w:ascii="Arial" w:hAnsi="Arial" w:cs="Arial"/>
          <w:sz w:val="24"/>
          <w:szCs w:val="24"/>
        </w:rPr>
        <w:t>:</w:t>
      </w:r>
    </w:p>
    <w:p w:rsidR="001B2584" w:rsidRPr="00851CCB" w:rsidRDefault="00BB461C" w:rsidP="003F3323">
      <w:pPr>
        <w:spacing w:line="360" w:lineRule="auto"/>
        <w:ind w:left="1843" w:hanging="283"/>
        <w:jc w:val="both"/>
        <w:rPr>
          <w:rFonts w:ascii="Arial" w:hAnsi="Arial" w:cs="Arial"/>
          <w:sz w:val="24"/>
          <w:szCs w:val="24"/>
        </w:rPr>
      </w:pPr>
      <w:r w:rsidRPr="00851CCB">
        <w:rPr>
          <w:rFonts w:ascii="Arial" w:hAnsi="Arial" w:cs="Arial"/>
          <w:sz w:val="24"/>
          <w:szCs w:val="24"/>
        </w:rPr>
        <w:t xml:space="preserve">1. </w:t>
      </w:r>
      <w:r w:rsidR="00A8422A" w:rsidRPr="00851CCB">
        <w:rPr>
          <w:rFonts w:ascii="Arial" w:hAnsi="Arial" w:cs="Arial"/>
          <w:sz w:val="24"/>
          <w:szCs w:val="24"/>
        </w:rPr>
        <w:t xml:space="preserve">Trabalho de campo antropológico, no qual </w:t>
      </w:r>
      <w:r w:rsidR="00E25548" w:rsidRPr="00851CCB">
        <w:rPr>
          <w:rFonts w:ascii="Arial" w:hAnsi="Arial" w:cs="Arial"/>
          <w:sz w:val="24"/>
          <w:szCs w:val="24"/>
        </w:rPr>
        <w:t>se delimita</w:t>
      </w:r>
      <w:r w:rsidR="00A8422A" w:rsidRPr="00851CCB">
        <w:rPr>
          <w:rFonts w:ascii="Arial" w:hAnsi="Arial" w:cs="Arial"/>
          <w:sz w:val="24"/>
          <w:szCs w:val="24"/>
        </w:rPr>
        <w:t xml:space="preserve"> o território pleiteado pela comunidade e </w:t>
      </w:r>
      <w:r w:rsidR="00A67E98" w:rsidRPr="00851CCB">
        <w:rPr>
          <w:rFonts w:ascii="Arial" w:hAnsi="Arial" w:cs="Arial"/>
          <w:sz w:val="24"/>
          <w:szCs w:val="24"/>
        </w:rPr>
        <w:t xml:space="preserve">redação/execução do </w:t>
      </w:r>
      <w:r w:rsidRPr="00851CCB">
        <w:rPr>
          <w:rFonts w:ascii="Arial" w:hAnsi="Arial" w:cs="Arial"/>
          <w:sz w:val="24"/>
          <w:szCs w:val="24"/>
        </w:rPr>
        <w:t>Relatório</w:t>
      </w:r>
      <w:r w:rsidR="00A67E98" w:rsidRPr="00851CCB">
        <w:rPr>
          <w:rFonts w:ascii="Arial" w:hAnsi="Arial" w:cs="Arial"/>
          <w:sz w:val="24"/>
          <w:szCs w:val="24"/>
        </w:rPr>
        <w:t xml:space="preserve"> (ou Laudo)</w:t>
      </w:r>
      <w:r w:rsidRPr="00851CCB">
        <w:rPr>
          <w:rFonts w:ascii="Arial" w:hAnsi="Arial" w:cs="Arial"/>
          <w:sz w:val="24"/>
          <w:szCs w:val="24"/>
        </w:rPr>
        <w:t xml:space="preserve"> Antropológico; </w:t>
      </w:r>
    </w:p>
    <w:p w:rsidR="00A67E98" w:rsidRPr="00851CCB" w:rsidRDefault="00BB461C" w:rsidP="00A67E98">
      <w:pPr>
        <w:spacing w:line="360" w:lineRule="auto"/>
        <w:ind w:left="1843" w:hanging="283"/>
        <w:jc w:val="both"/>
        <w:rPr>
          <w:rFonts w:ascii="Arial" w:hAnsi="Arial" w:cs="Arial"/>
          <w:sz w:val="24"/>
          <w:szCs w:val="24"/>
        </w:rPr>
      </w:pPr>
      <w:r w:rsidRPr="00851CCB">
        <w:rPr>
          <w:rFonts w:ascii="Arial" w:hAnsi="Arial" w:cs="Arial"/>
          <w:sz w:val="24"/>
          <w:szCs w:val="24"/>
        </w:rPr>
        <w:t>2. Levantamento Fundiário</w:t>
      </w:r>
      <w:r w:rsidR="00E25548">
        <w:rPr>
          <w:rFonts w:ascii="Arial" w:hAnsi="Arial" w:cs="Arial"/>
          <w:sz w:val="24"/>
          <w:szCs w:val="24"/>
        </w:rPr>
        <w:t xml:space="preserve"> </w:t>
      </w:r>
      <w:r w:rsidR="00A53F98" w:rsidRPr="00851CCB">
        <w:rPr>
          <w:rFonts w:ascii="Arial" w:hAnsi="Arial" w:cs="Arial"/>
          <w:sz w:val="24"/>
          <w:szCs w:val="24"/>
        </w:rPr>
        <w:t>(baseados nas indicações do Relatório Antropológico);</w:t>
      </w:r>
    </w:p>
    <w:p w:rsidR="00A67E98" w:rsidRPr="00851CCB" w:rsidRDefault="00A53F98" w:rsidP="00A67E98">
      <w:pPr>
        <w:spacing w:line="360" w:lineRule="auto"/>
        <w:ind w:left="1843" w:hanging="283"/>
        <w:jc w:val="both"/>
        <w:rPr>
          <w:rFonts w:ascii="Arial" w:hAnsi="Arial" w:cs="Arial"/>
          <w:sz w:val="24"/>
          <w:szCs w:val="24"/>
        </w:rPr>
      </w:pPr>
      <w:r w:rsidRPr="00851CCB">
        <w:rPr>
          <w:rFonts w:ascii="Arial" w:hAnsi="Arial" w:cs="Arial"/>
          <w:sz w:val="24"/>
          <w:szCs w:val="24"/>
        </w:rPr>
        <w:t>3. Planta e Memorial Descritivo;</w:t>
      </w:r>
    </w:p>
    <w:p w:rsidR="001B2584" w:rsidRPr="00851CCB" w:rsidRDefault="00A67E98" w:rsidP="003F3323">
      <w:pPr>
        <w:spacing w:line="360" w:lineRule="auto"/>
        <w:ind w:left="1843" w:hanging="283"/>
        <w:jc w:val="both"/>
        <w:rPr>
          <w:rFonts w:ascii="Arial" w:hAnsi="Arial" w:cs="Arial"/>
          <w:sz w:val="24"/>
          <w:szCs w:val="24"/>
        </w:rPr>
      </w:pPr>
      <w:r w:rsidRPr="00851CCB">
        <w:rPr>
          <w:rFonts w:ascii="Arial" w:hAnsi="Arial" w:cs="Arial"/>
          <w:sz w:val="24"/>
          <w:szCs w:val="24"/>
        </w:rPr>
        <w:t>4. Cadastramento;</w:t>
      </w:r>
    </w:p>
    <w:p w:rsidR="001B2584" w:rsidRPr="00851CCB" w:rsidRDefault="001B2584" w:rsidP="003F3323">
      <w:pPr>
        <w:spacing w:line="360" w:lineRule="auto"/>
        <w:ind w:left="1843" w:hanging="283"/>
        <w:jc w:val="both"/>
        <w:rPr>
          <w:rFonts w:ascii="Arial" w:hAnsi="Arial" w:cs="Arial"/>
          <w:sz w:val="24"/>
          <w:szCs w:val="24"/>
        </w:rPr>
      </w:pPr>
      <w:r w:rsidRPr="00851CCB">
        <w:rPr>
          <w:rFonts w:ascii="Arial" w:hAnsi="Arial" w:cs="Arial"/>
          <w:sz w:val="24"/>
          <w:szCs w:val="24"/>
        </w:rPr>
        <w:t>5. Levantamento detalhado da situação das áreas pleiteadas;</w:t>
      </w:r>
    </w:p>
    <w:p w:rsidR="00C142E0" w:rsidRPr="00851CCB" w:rsidRDefault="001B2584" w:rsidP="005C18D3">
      <w:pPr>
        <w:spacing w:line="360" w:lineRule="auto"/>
        <w:ind w:left="1843" w:hanging="283"/>
        <w:jc w:val="both"/>
        <w:rPr>
          <w:rFonts w:ascii="Arial" w:hAnsi="Arial" w:cs="Arial"/>
          <w:sz w:val="24"/>
          <w:szCs w:val="24"/>
        </w:rPr>
      </w:pPr>
      <w:r w:rsidRPr="00851CCB">
        <w:rPr>
          <w:rFonts w:ascii="Arial" w:hAnsi="Arial" w:cs="Arial"/>
          <w:sz w:val="24"/>
          <w:szCs w:val="24"/>
        </w:rPr>
        <w:t>6. Parecer técnico e jurídico</w:t>
      </w:r>
    </w:p>
    <w:p w:rsidR="005C18D3" w:rsidRDefault="003F3323" w:rsidP="005C18D3">
      <w:pPr>
        <w:spacing w:line="360" w:lineRule="auto"/>
        <w:jc w:val="both"/>
        <w:rPr>
          <w:rFonts w:ascii="Arial" w:hAnsi="Arial" w:cs="Arial"/>
          <w:sz w:val="24"/>
          <w:szCs w:val="24"/>
        </w:rPr>
      </w:pPr>
      <w:r w:rsidRPr="00851CCB">
        <w:rPr>
          <w:rFonts w:ascii="Arial" w:hAnsi="Arial" w:cs="Arial"/>
          <w:sz w:val="24"/>
          <w:szCs w:val="24"/>
        </w:rPr>
        <w:tab/>
        <w:t xml:space="preserve">A parceria entre o INCRA e o ITERPE </w:t>
      </w:r>
      <w:r w:rsidR="00F20327" w:rsidRPr="00851CCB">
        <w:rPr>
          <w:rFonts w:ascii="Arial" w:hAnsi="Arial" w:cs="Arial"/>
          <w:sz w:val="24"/>
          <w:szCs w:val="24"/>
        </w:rPr>
        <w:t>tem se desenvolvido</w:t>
      </w:r>
      <w:r w:rsidRPr="00851CCB">
        <w:rPr>
          <w:rFonts w:ascii="Arial" w:hAnsi="Arial" w:cs="Arial"/>
          <w:sz w:val="24"/>
          <w:szCs w:val="24"/>
        </w:rPr>
        <w:t xml:space="preserve"> no processo de execução destas etapas.</w:t>
      </w:r>
    </w:p>
    <w:p w:rsidR="005C18D3" w:rsidRPr="005C18D3" w:rsidRDefault="005C18D3" w:rsidP="005C18D3">
      <w:pPr>
        <w:spacing w:line="360" w:lineRule="auto"/>
        <w:jc w:val="center"/>
        <w:rPr>
          <w:rFonts w:ascii="Arial" w:hAnsi="Arial" w:cs="Arial"/>
          <w:b/>
          <w:sz w:val="24"/>
          <w:szCs w:val="24"/>
          <w:u w:val="single"/>
        </w:rPr>
      </w:pPr>
      <w:r w:rsidRPr="005C18D3">
        <w:rPr>
          <w:rFonts w:ascii="Arial" w:hAnsi="Arial" w:cs="Arial"/>
          <w:b/>
          <w:sz w:val="24"/>
          <w:szCs w:val="24"/>
          <w:u w:val="single"/>
        </w:rPr>
        <w:t>Regularização fundiária de territórios quilombolas no Estado de Pernambuco.</w:t>
      </w:r>
    </w:p>
    <w:p w:rsidR="005C18D3" w:rsidRPr="009D1208" w:rsidRDefault="005C18D3" w:rsidP="009D1208">
      <w:pPr>
        <w:spacing w:line="360" w:lineRule="auto"/>
        <w:ind w:firstLine="708"/>
        <w:jc w:val="both"/>
        <w:rPr>
          <w:rFonts w:ascii="Arial" w:hAnsi="Arial" w:cs="Arial"/>
          <w:sz w:val="24"/>
          <w:szCs w:val="24"/>
        </w:rPr>
      </w:pPr>
      <w:r w:rsidRPr="009D1208">
        <w:rPr>
          <w:rFonts w:ascii="Arial" w:hAnsi="Arial" w:cs="Arial"/>
          <w:sz w:val="24"/>
          <w:szCs w:val="24"/>
        </w:rPr>
        <w:t xml:space="preserve"> A história da população negra na relação com a terra foi marcada pela injustiça premeditada na Lei de Concessão de Terras de 1850, determinando que toda e qualquer terra, dali em diante, só poderia ser obtida por meio de compra junto ao governo. No Brasil, até então, os posseiros realizavam a </w:t>
      </w:r>
      <w:r w:rsidRPr="009D1208">
        <w:rPr>
          <w:rFonts w:ascii="Arial" w:hAnsi="Arial" w:cs="Arial"/>
          <w:sz w:val="24"/>
          <w:szCs w:val="24"/>
        </w:rPr>
        <w:lastRenderedPageBreak/>
        <w:t>apropriação de terras aproveitando as brechas legais que não definiam bem o critério de posse das terras.</w:t>
      </w:r>
      <w:r w:rsidRPr="009D1208">
        <w:rPr>
          <w:rStyle w:val="apple-converted-space"/>
          <w:rFonts w:ascii="Arial" w:hAnsi="Arial" w:cs="Arial"/>
          <w:sz w:val="24"/>
          <w:szCs w:val="24"/>
        </w:rPr>
        <w:t> A nova Lei surge no momento em que o tráfico</w:t>
      </w:r>
      <w:r w:rsidRPr="00851CCB">
        <w:rPr>
          <w:rStyle w:val="apple-converted-space"/>
          <w:rFonts w:ascii="Arial" w:hAnsi="Arial" w:cs="Arial"/>
          <w:color w:val="333333"/>
          <w:sz w:val="24"/>
          <w:szCs w:val="24"/>
        </w:rPr>
        <w:t xml:space="preserve"> negreiro foi proibido no país, prenunciando o fim da escravidão. </w:t>
      </w:r>
      <w:r w:rsidRPr="00851CCB">
        <w:rPr>
          <w:rFonts w:ascii="Arial" w:hAnsi="Arial" w:cs="Arial"/>
          <w:sz w:val="24"/>
          <w:szCs w:val="24"/>
        </w:rPr>
        <w:t>O país tem uma dívida com este setor da população que, além de sofrer os horrores da escravidão, a partir da abolição foi abandonada à sua própria sorte, sem oportunidade de acesso à terra, à educação, ao emprego, etc.</w:t>
      </w:r>
    </w:p>
    <w:p w:rsidR="003F3323" w:rsidRPr="005C18D3" w:rsidRDefault="005C18D3" w:rsidP="003F3323">
      <w:pPr>
        <w:spacing w:line="360" w:lineRule="auto"/>
        <w:jc w:val="both"/>
        <w:rPr>
          <w:rFonts w:ascii="Arial" w:hAnsi="Arial" w:cs="Arial"/>
          <w:b/>
          <w:smallCaps/>
          <w:sz w:val="24"/>
          <w:szCs w:val="24"/>
          <w:u w:val="single"/>
        </w:rPr>
      </w:pPr>
      <w:r w:rsidRPr="005C18D3">
        <w:rPr>
          <w:rFonts w:ascii="Arial" w:hAnsi="Arial" w:cs="Arial"/>
          <w:b/>
          <w:smallCaps/>
          <w:sz w:val="24"/>
          <w:szCs w:val="24"/>
          <w:u w:val="single"/>
        </w:rPr>
        <w:t xml:space="preserve"> ações</w:t>
      </w:r>
    </w:p>
    <w:p w:rsidR="007F6E44" w:rsidRDefault="004710EB" w:rsidP="003F3323">
      <w:pPr>
        <w:spacing w:line="360" w:lineRule="auto"/>
        <w:ind w:firstLine="708"/>
        <w:jc w:val="both"/>
        <w:rPr>
          <w:rFonts w:ascii="Arial" w:hAnsi="Arial" w:cs="Arial"/>
          <w:sz w:val="24"/>
          <w:szCs w:val="24"/>
        </w:rPr>
      </w:pPr>
      <w:r w:rsidRPr="00851CCB">
        <w:rPr>
          <w:rFonts w:ascii="Arial" w:hAnsi="Arial" w:cs="Arial"/>
          <w:sz w:val="24"/>
          <w:szCs w:val="24"/>
        </w:rPr>
        <w:t xml:space="preserve">As ações do Governo do Estado de Pernambuco </w:t>
      </w:r>
      <w:r w:rsidR="001B2584" w:rsidRPr="00851CCB">
        <w:rPr>
          <w:rFonts w:ascii="Arial" w:hAnsi="Arial" w:cs="Arial"/>
          <w:sz w:val="24"/>
          <w:szCs w:val="24"/>
        </w:rPr>
        <w:t xml:space="preserve">no âmbito da </w:t>
      </w:r>
      <w:r w:rsidR="00834CC4" w:rsidRPr="00851CCB">
        <w:rPr>
          <w:rFonts w:ascii="Arial" w:hAnsi="Arial" w:cs="Arial"/>
          <w:sz w:val="24"/>
          <w:szCs w:val="24"/>
        </w:rPr>
        <w:t>regularização fundiária dos territórios</w:t>
      </w:r>
      <w:r w:rsidR="001B2584" w:rsidRPr="00851CCB">
        <w:rPr>
          <w:rFonts w:ascii="Arial" w:hAnsi="Arial" w:cs="Arial"/>
          <w:sz w:val="24"/>
          <w:szCs w:val="24"/>
        </w:rPr>
        <w:t xml:space="preserve"> quilombola</w:t>
      </w:r>
      <w:r w:rsidR="00834CC4" w:rsidRPr="00851CCB">
        <w:rPr>
          <w:rFonts w:ascii="Arial" w:hAnsi="Arial" w:cs="Arial"/>
          <w:sz w:val="24"/>
          <w:szCs w:val="24"/>
        </w:rPr>
        <w:t>s</w:t>
      </w:r>
      <w:r w:rsidR="001A3AA1" w:rsidRPr="00851CCB">
        <w:rPr>
          <w:rFonts w:ascii="Arial" w:hAnsi="Arial" w:cs="Arial"/>
          <w:sz w:val="24"/>
          <w:szCs w:val="24"/>
        </w:rPr>
        <w:t xml:space="preserve"> </w:t>
      </w:r>
      <w:r w:rsidR="005C18D3">
        <w:rPr>
          <w:rFonts w:ascii="Arial" w:hAnsi="Arial" w:cs="Arial"/>
          <w:sz w:val="24"/>
          <w:szCs w:val="24"/>
        </w:rPr>
        <w:t>são</w:t>
      </w:r>
      <w:r w:rsidR="001C1479" w:rsidRPr="00851CCB">
        <w:rPr>
          <w:rFonts w:ascii="Arial" w:hAnsi="Arial" w:cs="Arial"/>
          <w:sz w:val="24"/>
          <w:szCs w:val="24"/>
        </w:rPr>
        <w:t xml:space="preserve"> fundamentadas</w:t>
      </w:r>
      <w:r w:rsidR="005C18D3">
        <w:rPr>
          <w:rFonts w:ascii="Arial" w:hAnsi="Arial" w:cs="Arial"/>
          <w:sz w:val="24"/>
          <w:szCs w:val="24"/>
        </w:rPr>
        <w:t xml:space="preserve"> na</w:t>
      </w:r>
      <w:r w:rsidR="009D1208" w:rsidRPr="005C18D3">
        <w:rPr>
          <w:rFonts w:ascii="Arial" w:hAnsi="Arial" w:cs="Arial"/>
          <w:sz w:val="24"/>
          <w:szCs w:val="24"/>
        </w:rPr>
        <w:t xml:space="preserve"> </w:t>
      </w:r>
      <w:r w:rsidR="005C18D3" w:rsidRPr="00851CCB">
        <w:rPr>
          <w:rFonts w:ascii="Arial" w:hAnsi="Arial" w:cs="Arial"/>
          <w:sz w:val="24"/>
          <w:szCs w:val="24"/>
        </w:rPr>
        <w:t>legislação Federal</w:t>
      </w:r>
      <w:r w:rsidR="005C18D3">
        <w:rPr>
          <w:rFonts w:ascii="Arial" w:hAnsi="Arial" w:cs="Arial"/>
          <w:sz w:val="24"/>
          <w:szCs w:val="24"/>
        </w:rPr>
        <w:t>,</w:t>
      </w:r>
      <w:r w:rsidR="005C18D3" w:rsidRPr="00851CCB">
        <w:rPr>
          <w:rFonts w:ascii="Arial" w:hAnsi="Arial" w:cs="Arial"/>
          <w:sz w:val="24"/>
          <w:szCs w:val="24"/>
        </w:rPr>
        <w:t xml:space="preserve"> </w:t>
      </w:r>
      <w:r w:rsidR="005C18D3">
        <w:rPr>
          <w:rFonts w:ascii="Arial" w:hAnsi="Arial" w:cs="Arial"/>
          <w:sz w:val="24"/>
          <w:szCs w:val="24"/>
        </w:rPr>
        <w:t xml:space="preserve">na </w:t>
      </w:r>
      <w:r w:rsidR="005C18D3" w:rsidRPr="00851CCB">
        <w:rPr>
          <w:rFonts w:ascii="Arial" w:hAnsi="Arial" w:cs="Arial"/>
          <w:sz w:val="24"/>
          <w:szCs w:val="24"/>
        </w:rPr>
        <w:t xml:space="preserve">Lei </w:t>
      </w:r>
      <w:r w:rsidR="007F6E44">
        <w:rPr>
          <w:rFonts w:ascii="Arial" w:hAnsi="Arial" w:cs="Arial"/>
          <w:sz w:val="24"/>
          <w:szCs w:val="24"/>
        </w:rPr>
        <w:t xml:space="preserve">12.235 de 26 de junho de 2002, Lei </w:t>
      </w:r>
      <w:r w:rsidR="005C18D3" w:rsidRPr="00851CCB">
        <w:rPr>
          <w:rFonts w:ascii="Arial" w:hAnsi="Arial" w:cs="Arial"/>
          <w:sz w:val="24"/>
          <w:szCs w:val="24"/>
        </w:rPr>
        <w:t>de Terras do Estado</w:t>
      </w:r>
      <w:r w:rsidR="009D1208">
        <w:rPr>
          <w:rFonts w:ascii="Arial" w:hAnsi="Arial" w:cs="Arial"/>
          <w:sz w:val="24"/>
          <w:szCs w:val="24"/>
        </w:rPr>
        <w:t xml:space="preserve"> de Pernambuco</w:t>
      </w:r>
      <w:r w:rsidR="005C18D3">
        <w:rPr>
          <w:rFonts w:ascii="Arial" w:hAnsi="Arial" w:cs="Arial"/>
          <w:sz w:val="24"/>
          <w:szCs w:val="24"/>
        </w:rPr>
        <w:t>,</w:t>
      </w:r>
      <w:r w:rsidR="005C18D3" w:rsidRPr="00851CCB">
        <w:rPr>
          <w:rFonts w:ascii="Arial" w:hAnsi="Arial" w:cs="Arial"/>
          <w:sz w:val="24"/>
          <w:szCs w:val="24"/>
        </w:rPr>
        <w:t xml:space="preserve"> </w:t>
      </w:r>
      <w:r w:rsidR="003D291D" w:rsidRPr="00851CCB">
        <w:rPr>
          <w:rFonts w:ascii="Arial" w:hAnsi="Arial" w:cs="Arial"/>
          <w:sz w:val="24"/>
          <w:szCs w:val="24"/>
        </w:rPr>
        <w:t xml:space="preserve">no Decreto Estadual Nº </w:t>
      </w:r>
      <w:r w:rsidR="004730B9" w:rsidRPr="00851CCB">
        <w:rPr>
          <w:rFonts w:ascii="Arial" w:hAnsi="Arial" w:cs="Arial"/>
          <w:sz w:val="24"/>
          <w:szCs w:val="24"/>
        </w:rPr>
        <w:t>38.960, de 17 de dezembro de 2012</w:t>
      </w:r>
      <w:r w:rsidR="007F6E44">
        <w:rPr>
          <w:rFonts w:ascii="Arial" w:hAnsi="Arial" w:cs="Arial"/>
          <w:sz w:val="24"/>
          <w:szCs w:val="24"/>
        </w:rPr>
        <w:t xml:space="preserve"> e no Plano Pernambuco Quilombola. Estas ações são</w:t>
      </w:r>
      <w:r w:rsidR="00834CC4" w:rsidRPr="00851CCB">
        <w:rPr>
          <w:rFonts w:ascii="Arial" w:hAnsi="Arial" w:cs="Arial"/>
          <w:sz w:val="24"/>
          <w:szCs w:val="24"/>
        </w:rPr>
        <w:t xml:space="preserve"> executadas através do ITERPE, em parceria com o INCRA, conforme determina a legislação. </w:t>
      </w:r>
    </w:p>
    <w:p w:rsidR="007F6E44" w:rsidRDefault="00834CC4" w:rsidP="003F3323">
      <w:pPr>
        <w:spacing w:line="360" w:lineRule="auto"/>
        <w:ind w:firstLine="708"/>
        <w:jc w:val="both"/>
        <w:rPr>
          <w:rFonts w:ascii="Arial" w:hAnsi="Arial" w:cs="Arial"/>
          <w:sz w:val="24"/>
          <w:szCs w:val="24"/>
        </w:rPr>
      </w:pPr>
      <w:r w:rsidRPr="00851CCB">
        <w:rPr>
          <w:rFonts w:ascii="Arial" w:hAnsi="Arial" w:cs="Arial"/>
          <w:sz w:val="24"/>
          <w:szCs w:val="24"/>
        </w:rPr>
        <w:t>Esta parceria está amparada por um Termo de Cooperação Técnica</w:t>
      </w:r>
      <w:r w:rsidR="0014115E" w:rsidRPr="00851CCB">
        <w:rPr>
          <w:rFonts w:ascii="Arial" w:hAnsi="Arial" w:cs="Arial"/>
          <w:sz w:val="24"/>
          <w:szCs w:val="24"/>
        </w:rPr>
        <w:t>,</w:t>
      </w:r>
      <w:r w:rsidRPr="00851CCB">
        <w:rPr>
          <w:rFonts w:ascii="Arial" w:hAnsi="Arial" w:cs="Arial"/>
          <w:sz w:val="24"/>
          <w:szCs w:val="24"/>
        </w:rPr>
        <w:t xml:space="preserve"> firmado entre os dois órgãos em 2011. Em 2012</w:t>
      </w:r>
      <w:r w:rsidR="00A67E98" w:rsidRPr="00851CCB">
        <w:rPr>
          <w:rFonts w:ascii="Arial" w:hAnsi="Arial" w:cs="Arial"/>
          <w:sz w:val="24"/>
          <w:szCs w:val="24"/>
        </w:rPr>
        <w:t>,</w:t>
      </w:r>
      <w:r w:rsidR="001A3AA1" w:rsidRPr="00851CCB">
        <w:rPr>
          <w:rFonts w:ascii="Arial" w:hAnsi="Arial" w:cs="Arial"/>
          <w:sz w:val="24"/>
          <w:szCs w:val="24"/>
        </w:rPr>
        <w:t xml:space="preserve"> </w:t>
      </w:r>
      <w:r w:rsidR="00AD78B1" w:rsidRPr="00851CCB">
        <w:rPr>
          <w:rFonts w:ascii="Arial" w:hAnsi="Arial" w:cs="Arial"/>
          <w:sz w:val="24"/>
          <w:szCs w:val="24"/>
        </w:rPr>
        <w:t>a participação do ITERPE foi discutida e definida em conjunto,</w:t>
      </w:r>
      <w:r w:rsidR="001B2584" w:rsidRPr="00851CCB">
        <w:rPr>
          <w:rFonts w:ascii="Arial" w:hAnsi="Arial" w:cs="Arial"/>
          <w:sz w:val="24"/>
          <w:szCs w:val="24"/>
        </w:rPr>
        <w:t xml:space="preserve"> entre o INCRA e o ITERPE</w:t>
      </w:r>
      <w:r w:rsidRPr="00851CCB">
        <w:rPr>
          <w:rFonts w:ascii="Arial" w:hAnsi="Arial" w:cs="Arial"/>
          <w:sz w:val="24"/>
          <w:szCs w:val="24"/>
        </w:rPr>
        <w:t xml:space="preserve">, </w:t>
      </w:r>
      <w:r w:rsidR="00AD78B1" w:rsidRPr="00851CCB">
        <w:rPr>
          <w:rFonts w:ascii="Arial" w:hAnsi="Arial" w:cs="Arial"/>
          <w:sz w:val="24"/>
          <w:szCs w:val="24"/>
        </w:rPr>
        <w:t xml:space="preserve">resultando </w:t>
      </w:r>
      <w:r w:rsidR="003C1F93" w:rsidRPr="00851CCB">
        <w:rPr>
          <w:rFonts w:ascii="Arial" w:hAnsi="Arial" w:cs="Arial"/>
          <w:sz w:val="24"/>
          <w:szCs w:val="24"/>
        </w:rPr>
        <w:t>na eleição de</w:t>
      </w:r>
      <w:r w:rsidR="007F6E44">
        <w:rPr>
          <w:rFonts w:ascii="Arial" w:hAnsi="Arial" w:cs="Arial"/>
          <w:sz w:val="24"/>
          <w:szCs w:val="24"/>
        </w:rPr>
        <w:t xml:space="preserve"> três</w:t>
      </w:r>
      <w:r w:rsidR="00AD78B1" w:rsidRPr="00851CCB">
        <w:rPr>
          <w:rFonts w:ascii="Arial" w:hAnsi="Arial" w:cs="Arial"/>
          <w:sz w:val="24"/>
          <w:szCs w:val="24"/>
        </w:rPr>
        <w:t xml:space="preserve"> ações: </w:t>
      </w:r>
    </w:p>
    <w:p w:rsidR="007F6E44" w:rsidRDefault="007F6E44" w:rsidP="003F3323">
      <w:pPr>
        <w:spacing w:line="360" w:lineRule="auto"/>
        <w:ind w:firstLine="708"/>
        <w:jc w:val="both"/>
        <w:rPr>
          <w:rFonts w:ascii="Arial" w:hAnsi="Arial" w:cs="Arial"/>
          <w:sz w:val="24"/>
          <w:szCs w:val="24"/>
        </w:rPr>
      </w:pPr>
      <w:r>
        <w:rPr>
          <w:rFonts w:ascii="Arial" w:hAnsi="Arial" w:cs="Arial"/>
          <w:sz w:val="24"/>
          <w:szCs w:val="24"/>
        </w:rPr>
        <w:t>- P</w:t>
      </w:r>
      <w:r w:rsidR="00A67E98" w:rsidRPr="00851CCB">
        <w:rPr>
          <w:rFonts w:ascii="Arial" w:hAnsi="Arial" w:cs="Arial"/>
          <w:sz w:val="24"/>
          <w:szCs w:val="24"/>
        </w:rPr>
        <w:t>articipação conjunta em t</w:t>
      </w:r>
      <w:r>
        <w:rPr>
          <w:rFonts w:ascii="Arial" w:hAnsi="Arial" w:cs="Arial"/>
          <w:sz w:val="24"/>
          <w:szCs w:val="24"/>
        </w:rPr>
        <w:t>rabalhos de campo antropológico;</w:t>
      </w:r>
      <w:r w:rsidR="00A67E98" w:rsidRPr="00851CCB">
        <w:rPr>
          <w:rFonts w:ascii="Arial" w:hAnsi="Arial" w:cs="Arial"/>
          <w:sz w:val="24"/>
          <w:szCs w:val="24"/>
        </w:rPr>
        <w:t xml:space="preserve"> </w:t>
      </w:r>
    </w:p>
    <w:p w:rsidR="007F6E44" w:rsidRDefault="007F6E44" w:rsidP="007F6E44">
      <w:pPr>
        <w:spacing w:line="360" w:lineRule="auto"/>
        <w:ind w:firstLine="708"/>
        <w:jc w:val="both"/>
        <w:rPr>
          <w:rFonts w:ascii="Arial" w:hAnsi="Arial" w:cs="Arial"/>
          <w:sz w:val="24"/>
          <w:szCs w:val="24"/>
        </w:rPr>
      </w:pPr>
      <w:r>
        <w:rPr>
          <w:rFonts w:ascii="Arial" w:hAnsi="Arial" w:cs="Arial"/>
          <w:sz w:val="24"/>
          <w:szCs w:val="24"/>
        </w:rPr>
        <w:t>-   L</w:t>
      </w:r>
      <w:r w:rsidR="00AD78B1" w:rsidRPr="00851CCB">
        <w:rPr>
          <w:rFonts w:ascii="Arial" w:hAnsi="Arial" w:cs="Arial"/>
          <w:sz w:val="24"/>
          <w:szCs w:val="24"/>
        </w:rPr>
        <w:t>evantamento fundiário</w:t>
      </w:r>
      <w:r>
        <w:rPr>
          <w:rFonts w:ascii="Arial" w:hAnsi="Arial" w:cs="Arial"/>
          <w:sz w:val="24"/>
          <w:szCs w:val="24"/>
        </w:rPr>
        <w:t>;</w:t>
      </w:r>
    </w:p>
    <w:p w:rsidR="007F6E44" w:rsidRDefault="007F6E44" w:rsidP="007F6E44">
      <w:pPr>
        <w:spacing w:line="360" w:lineRule="auto"/>
        <w:ind w:firstLine="708"/>
        <w:jc w:val="both"/>
        <w:rPr>
          <w:rFonts w:ascii="Arial" w:hAnsi="Arial" w:cs="Arial"/>
          <w:sz w:val="24"/>
          <w:szCs w:val="24"/>
        </w:rPr>
      </w:pPr>
      <w:r>
        <w:rPr>
          <w:rFonts w:ascii="Arial" w:hAnsi="Arial" w:cs="Arial"/>
          <w:sz w:val="24"/>
          <w:szCs w:val="24"/>
        </w:rPr>
        <w:t>- L</w:t>
      </w:r>
      <w:r w:rsidR="00AD78B1" w:rsidRPr="00851CCB">
        <w:rPr>
          <w:rFonts w:ascii="Arial" w:hAnsi="Arial" w:cs="Arial"/>
          <w:sz w:val="24"/>
          <w:szCs w:val="24"/>
        </w:rPr>
        <w:t>evantamento cartorial (</w:t>
      </w:r>
      <w:r w:rsidR="00A53F98" w:rsidRPr="00851CCB">
        <w:rPr>
          <w:rFonts w:ascii="Arial" w:hAnsi="Arial" w:cs="Arial"/>
          <w:sz w:val="24"/>
          <w:szCs w:val="24"/>
        </w:rPr>
        <w:t xml:space="preserve">avaliação da </w:t>
      </w:r>
      <w:r w:rsidR="00AD78B1" w:rsidRPr="00851CCB">
        <w:rPr>
          <w:rFonts w:ascii="Arial" w:hAnsi="Arial" w:cs="Arial"/>
          <w:sz w:val="24"/>
          <w:szCs w:val="24"/>
        </w:rPr>
        <w:t>situação jurídica das áreas pleiteadas).</w:t>
      </w:r>
    </w:p>
    <w:p w:rsidR="004710EB" w:rsidRPr="00851CCB" w:rsidRDefault="00AD78B1" w:rsidP="007F6E44">
      <w:pPr>
        <w:spacing w:line="360" w:lineRule="auto"/>
        <w:ind w:firstLine="708"/>
        <w:jc w:val="both"/>
        <w:rPr>
          <w:rFonts w:ascii="Arial" w:hAnsi="Arial" w:cs="Arial"/>
          <w:sz w:val="24"/>
          <w:szCs w:val="24"/>
        </w:rPr>
      </w:pPr>
      <w:r w:rsidRPr="00851CCB">
        <w:rPr>
          <w:rFonts w:ascii="Arial" w:hAnsi="Arial" w:cs="Arial"/>
          <w:sz w:val="24"/>
          <w:szCs w:val="24"/>
        </w:rPr>
        <w:t xml:space="preserve"> Es</w:t>
      </w:r>
      <w:r w:rsidR="0014115E" w:rsidRPr="00851CCB">
        <w:rPr>
          <w:rFonts w:ascii="Arial" w:hAnsi="Arial" w:cs="Arial"/>
          <w:sz w:val="24"/>
          <w:szCs w:val="24"/>
        </w:rPr>
        <w:t xml:space="preserve">tas </w:t>
      </w:r>
      <w:r w:rsidR="00A67E98" w:rsidRPr="00851CCB">
        <w:rPr>
          <w:rFonts w:ascii="Arial" w:hAnsi="Arial" w:cs="Arial"/>
          <w:sz w:val="24"/>
          <w:szCs w:val="24"/>
        </w:rPr>
        <w:t xml:space="preserve">duas últimas </w:t>
      </w:r>
      <w:r w:rsidR="0014115E" w:rsidRPr="00851CCB">
        <w:rPr>
          <w:rFonts w:ascii="Arial" w:hAnsi="Arial" w:cs="Arial"/>
          <w:sz w:val="24"/>
          <w:szCs w:val="24"/>
        </w:rPr>
        <w:t xml:space="preserve">ações dependem da </w:t>
      </w:r>
      <w:r w:rsidR="009B04C8" w:rsidRPr="00851CCB">
        <w:rPr>
          <w:rFonts w:ascii="Arial" w:hAnsi="Arial" w:cs="Arial"/>
          <w:sz w:val="24"/>
          <w:szCs w:val="24"/>
        </w:rPr>
        <w:t>definição</w:t>
      </w:r>
      <w:r w:rsidR="0014115E" w:rsidRPr="00851CCB">
        <w:rPr>
          <w:rFonts w:ascii="Arial" w:hAnsi="Arial" w:cs="Arial"/>
          <w:sz w:val="24"/>
          <w:szCs w:val="24"/>
        </w:rPr>
        <w:t xml:space="preserve"> do território reivindicado pela comunidade, extraído no </w:t>
      </w:r>
      <w:r w:rsidR="00457917" w:rsidRPr="00851CCB">
        <w:rPr>
          <w:rFonts w:ascii="Arial" w:hAnsi="Arial" w:cs="Arial"/>
          <w:sz w:val="24"/>
          <w:szCs w:val="24"/>
        </w:rPr>
        <w:t>t</w:t>
      </w:r>
      <w:r w:rsidR="008B6AF7" w:rsidRPr="00851CCB">
        <w:rPr>
          <w:rFonts w:ascii="Arial" w:hAnsi="Arial" w:cs="Arial"/>
          <w:sz w:val="24"/>
          <w:szCs w:val="24"/>
        </w:rPr>
        <w:t>rabalho de cam</w:t>
      </w:r>
      <w:r w:rsidR="007F6E44">
        <w:rPr>
          <w:rFonts w:ascii="Arial" w:hAnsi="Arial" w:cs="Arial"/>
          <w:sz w:val="24"/>
          <w:szCs w:val="24"/>
        </w:rPr>
        <w:t>po antropológico, ou seja, são</w:t>
      </w:r>
      <w:r w:rsidR="0014115E" w:rsidRPr="00851CCB">
        <w:rPr>
          <w:rFonts w:ascii="Arial" w:hAnsi="Arial" w:cs="Arial"/>
          <w:sz w:val="24"/>
          <w:szCs w:val="24"/>
        </w:rPr>
        <w:t xml:space="preserve"> executadas com base </w:t>
      </w:r>
      <w:r w:rsidR="003C1F93" w:rsidRPr="00851CCB">
        <w:rPr>
          <w:rFonts w:ascii="Arial" w:hAnsi="Arial" w:cs="Arial"/>
          <w:sz w:val="24"/>
          <w:szCs w:val="24"/>
        </w:rPr>
        <w:t>nos</w:t>
      </w:r>
      <w:r w:rsidR="0014115E" w:rsidRPr="00851CCB">
        <w:rPr>
          <w:rFonts w:ascii="Arial" w:hAnsi="Arial" w:cs="Arial"/>
          <w:sz w:val="24"/>
          <w:szCs w:val="24"/>
        </w:rPr>
        <w:t xml:space="preserve"> dados do relatório já avançados ou mesmo com o relatório concluído.</w:t>
      </w:r>
    </w:p>
    <w:p w:rsidR="001B7B87" w:rsidRPr="00851CCB" w:rsidRDefault="001B7B87" w:rsidP="003F3323">
      <w:pPr>
        <w:spacing w:line="360" w:lineRule="auto"/>
        <w:ind w:firstLine="708"/>
        <w:jc w:val="both"/>
        <w:rPr>
          <w:rFonts w:ascii="Arial" w:hAnsi="Arial" w:cs="Arial"/>
          <w:sz w:val="24"/>
          <w:szCs w:val="24"/>
        </w:rPr>
      </w:pPr>
      <w:r w:rsidRPr="00851CCB">
        <w:rPr>
          <w:rFonts w:ascii="Arial" w:hAnsi="Arial" w:cs="Arial"/>
          <w:sz w:val="24"/>
          <w:szCs w:val="24"/>
        </w:rPr>
        <w:t xml:space="preserve">A possibilidade de o Iterpe executar sozinho um processo integral de regularização e titulação de comunidades quilombolas é muito limitada, se levarmos em conta diversos fatores: </w:t>
      </w:r>
    </w:p>
    <w:p w:rsidR="001B7B87" w:rsidRDefault="001B7B87" w:rsidP="001B7B87">
      <w:pPr>
        <w:pStyle w:val="PargrafodaLista"/>
        <w:numPr>
          <w:ilvl w:val="0"/>
          <w:numId w:val="7"/>
        </w:numPr>
        <w:spacing w:line="360" w:lineRule="auto"/>
        <w:jc w:val="both"/>
        <w:rPr>
          <w:rFonts w:ascii="Arial" w:hAnsi="Arial" w:cs="Arial"/>
          <w:sz w:val="24"/>
          <w:szCs w:val="24"/>
        </w:rPr>
      </w:pPr>
      <w:r w:rsidRPr="00851CCB">
        <w:rPr>
          <w:rFonts w:ascii="Arial" w:hAnsi="Arial" w:cs="Arial"/>
          <w:sz w:val="24"/>
          <w:szCs w:val="24"/>
        </w:rPr>
        <w:lastRenderedPageBreak/>
        <w:t>Os territórios reivindicados incluem, em quase todos os casos, imóveis de domínio privado, posses</w:t>
      </w:r>
      <w:r w:rsidR="00FE63EE" w:rsidRPr="00851CCB">
        <w:rPr>
          <w:rFonts w:ascii="Arial" w:hAnsi="Arial" w:cs="Arial"/>
          <w:sz w:val="24"/>
          <w:szCs w:val="24"/>
        </w:rPr>
        <w:t xml:space="preserve"> (terras estaduais)</w:t>
      </w:r>
      <w:r w:rsidRPr="00851CCB">
        <w:rPr>
          <w:rFonts w:ascii="Arial" w:hAnsi="Arial" w:cs="Arial"/>
          <w:sz w:val="24"/>
          <w:szCs w:val="24"/>
        </w:rPr>
        <w:t xml:space="preserve">, e em alguns casos, terras da União. Para desapropriar os domínios privados é necessário dispor de elevados recursos financeiros, que seriam custeados pelo Estado de Pernambuco, ao contrário do que ocorre quando estabelecemos uma parceira com o </w:t>
      </w:r>
      <w:r w:rsidR="007F6E44" w:rsidRPr="00851CCB">
        <w:rPr>
          <w:rFonts w:ascii="Arial" w:hAnsi="Arial" w:cs="Arial"/>
          <w:sz w:val="24"/>
          <w:szCs w:val="24"/>
        </w:rPr>
        <w:t>INCRA</w:t>
      </w:r>
      <w:r w:rsidRPr="00851CCB">
        <w:rPr>
          <w:rFonts w:ascii="Arial" w:hAnsi="Arial" w:cs="Arial"/>
          <w:sz w:val="24"/>
          <w:szCs w:val="24"/>
        </w:rPr>
        <w:t>, na qual é o Governo Federal que assume a desapropriação.</w:t>
      </w:r>
      <w:r w:rsidR="00FE63EE" w:rsidRPr="00851CCB">
        <w:rPr>
          <w:rFonts w:ascii="Arial" w:hAnsi="Arial" w:cs="Arial"/>
          <w:sz w:val="24"/>
          <w:szCs w:val="24"/>
        </w:rPr>
        <w:t xml:space="preserve"> Até o momento não temos conhecimento da existência de alguma comunidade cujo território reivindicado seja exclusivamente de terras devolutas ou de propriedade do Estado de Pernambuco. Dessa forma, a parceria é um método de trabalho muito mais adequado a atender o alto nível de complexidade destes territórios e do próprio processo em si.</w:t>
      </w:r>
    </w:p>
    <w:p w:rsidR="007F6E44" w:rsidRPr="00851CCB" w:rsidRDefault="007F6E44" w:rsidP="007F6E44">
      <w:pPr>
        <w:pStyle w:val="PargrafodaLista"/>
        <w:spacing w:line="360" w:lineRule="auto"/>
        <w:ind w:left="1068"/>
        <w:jc w:val="both"/>
        <w:rPr>
          <w:rFonts w:ascii="Arial" w:hAnsi="Arial" w:cs="Arial"/>
          <w:sz w:val="24"/>
          <w:szCs w:val="24"/>
        </w:rPr>
      </w:pPr>
    </w:p>
    <w:p w:rsidR="007F6E44" w:rsidRDefault="00FE63EE" w:rsidP="007F6E44">
      <w:pPr>
        <w:pStyle w:val="PargrafodaLista"/>
        <w:numPr>
          <w:ilvl w:val="0"/>
          <w:numId w:val="7"/>
        </w:numPr>
        <w:spacing w:line="360" w:lineRule="auto"/>
        <w:jc w:val="both"/>
        <w:rPr>
          <w:rFonts w:ascii="Arial" w:hAnsi="Arial" w:cs="Arial"/>
          <w:sz w:val="24"/>
          <w:szCs w:val="24"/>
        </w:rPr>
      </w:pPr>
      <w:r w:rsidRPr="00851CCB">
        <w:rPr>
          <w:rFonts w:ascii="Arial" w:hAnsi="Arial" w:cs="Arial"/>
          <w:sz w:val="24"/>
          <w:szCs w:val="24"/>
        </w:rPr>
        <w:t xml:space="preserve">A estrutura física, tecnológica e de recursos humanos do Iterpe está muito distante </w:t>
      </w:r>
      <w:r w:rsidR="001A3AA1" w:rsidRPr="00851CCB">
        <w:rPr>
          <w:rFonts w:ascii="Arial" w:hAnsi="Arial" w:cs="Arial"/>
          <w:sz w:val="24"/>
          <w:szCs w:val="24"/>
        </w:rPr>
        <w:t>das condições</w:t>
      </w:r>
      <w:r w:rsidRPr="00851CCB">
        <w:rPr>
          <w:rFonts w:ascii="Arial" w:hAnsi="Arial" w:cs="Arial"/>
          <w:sz w:val="24"/>
          <w:szCs w:val="24"/>
        </w:rPr>
        <w:t xml:space="preserve"> necessárias para executar um processo desse tipo.</w:t>
      </w:r>
    </w:p>
    <w:p w:rsidR="007F6E44" w:rsidRPr="007F6E44" w:rsidRDefault="007F6E44" w:rsidP="007F6E44">
      <w:pPr>
        <w:pStyle w:val="PargrafodaLista"/>
        <w:rPr>
          <w:rFonts w:ascii="Arial" w:hAnsi="Arial" w:cs="Arial"/>
          <w:sz w:val="24"/>
          <w:szCs w:val="24"/>
        </w:rPr>
      </w:pPr>
    </w:p>
    <w:p w:rsidR="007F6E44" w:rsidRPr="007F6E44" w:rsidRDefault="007F6E44" w:rsidP="007F6E44">
      <w:pPr>
        <w:pStyle w:val="PargrafodaLista"/>
        <w:spacing w:line="360" w:lineRule="auto"/>
        <w:ind w:left="1068"/>
        <w:jc w:val="both"/>
        <w:rPr>
          <w:rFonts w:ascii="Arial" w:hAnsi="Arial" w:cs="Arial"/>
          <w:sz w:val="24"/>
          <w:szCs w:val="24"/>
        </w:rPr>
      </w:pPr>
    </w:p>
    <w:p w:rsidR="00FE63EE" w:rsidRPr="00851CCB" w:rsidRDefault="00FE63EE" w:rsidP="00FE63EE">
      <w:pPr>
        <w:pStyle w:val="PargrafodaLista"/>
        <w:numPr>
          <w:ilvl w:val="0"/>
          <w:numId w:val="7"/>
        </w:numPr>
        <w:spacing w:line="360" w:lineRule="auto"/>
        <w:jc w:val="both"/>
        <w:rPr>
          <w:rFonts w:ascii="Arial" w:hAnsi="Arial" w:cs="Arial"/>
          <w:sz w:val="24"/>
          <w:szCs w:val="24"/>
        </w:rPr>
      </w:pPr>
      <w:r w:rsidRPr="00851CCB">
        <w:rPr>
          <w:rFonts w:ascii="Arial" w:hAnsi="Arial" w:cs="Arial"/>
          <w:sz w:val="24"/>
          <w:szCs w:val="24"/>
        </w:rPr>
        <w:t xml:space="preserve">Apesar de todos os esforços para realização do Decreto Estadual Nº 38.960, de 17 de dezembro de 2012, sua redação gerou vários questionamentos e incertezas, dificultando a agilidade das instituições envolvidas </w:t>
      </w:r>
      <w:r w:rsidR="00B34FD2" w:rsidRPr="00851CCB">
        <w:rPr>
          <w:rFonts w:ascii="Arial" w:hAnsi="Arial" w:cs="Arial"/>
          <w:sz w:val="24"/>
          <w:szCs w:val="24"/>
        </w:rPr>
        <w:t>na</w:t>
      </w:r>
      <w:r w:rsidR="0091473F" w:rsidRPr="00851CCB">
        <w:rPr>
          <w:rFonts w:ascii="Arial" w:hAnsi="Arial" w:cs="Arial"/>
          <w:sz w:val="24"/>
          <w:szCs w:val="24"/>
        </w:rPr>
        <w:t>s</w:t>
      </w:r>
      <w:r w:rsidR="00B34FD2" w:rsidRPr="00851CCB">
        <w:rPr>
          <w:rFonts w:ascii="Arial" w:hAnsi="Arial" w:cs="Arial"/>
          <w:sz w:val="24"/>
          <w:szCs w:val="24"/>
        </w:rPr>
        <w:t xml:space="preserve"> ações previstas.</w:t>
      </w:r>
      <w:r w:rsidR="0091473F" w:rsidRPr="00851CCB">
        <w:rPr>
          <w:rFonts w:ascii="Arial" w:hAnsi="Arial" w:cs="Arial"/>
          <w:sz w:val="24"/>
          <w:szCs w:val="24"/>
        </w:rPr>
        <w:t xml:space="preserve"> O processo de titulação de territórios quilombolas, de acordo com uma lei Federal, deve ser emitido em nome da Associação da Comunidade Quilombola. Para cumprir esta lei, nossa Lei de Terras estadual precisa ser atualizada e o procedimento todo precisa der regulamentado através de uma Instrução Normativa, levando em conta a IN 57 do </w:t>
      </w:r>
      <w:r w:rsidR="009D1208" w:rsidRPr="00851CCB">
        <w:rPr>
          <w:rFonts w:ascii="Arial" w:hAnsi="Arial" w:cs="Arial"/>
          <w:sz w:val="24"/>
          <w:szCs w:val="24"/>
        </w:rPr>
        <w:t>INCRA</w:t>
      </w:r>
      <w:r w:rsidR="00995F4C" w:rsidRPr="00851CCB">
        <w:rPr>
          <w:rFonts w:ascii="Arial" w:hAnsi="Arial" w:cs="Arial"/>
          <w:sz w:val="24"/>
          <w:szCs w:val="24"/>
        </w:rPr>
        <w:t>,</w:t>
      </w:r>
      <w:r w:rsidR="0091473F" w:rsidRPr="00851CCB">
        <w:rPr>
          <w:rFonts w:ascii="Arial" w:hAnsi="Arial" w:cs="Arial"/>
          <w:sz w:val="24"/>
          <w:szCs w:val="24"/>
        </w:rPr>
        <w:t xml:space="preserve"> que regulamenta os processos de regularização de territórios quilombolas</w:t>
      </w:r>
      <w:r w:rsidR="00F004DC" w:rsidRPr="00851CCB">
        <w:rPr>
          <w:rFonts w:ascii="Arial" w:hAnsi="Arial" w:cs="Arial"/>
          <w:sz w:val="24"/>
          <w:szCs w:val="24"/>
        </w:rPr>
        <w:t>no âmbito</w:t>
      </w:r>
      <w:r w:rsidR="00995F4C" w:rsidRPr="00851CCB">
        <w:rPr>
          <w:rFonts w:ascii="Arial" w:hAnsi="Arial" w:cs="Arial"/>
          <w:sz w:val="24"/>
          <w:szCs w:val="24"/>
        </w:rPr>
        <w:t xml:space="preserve"> nacional.</w:t>
      </w:r>
    </w:p>
    <w:p w:rsidR="00896D30" w:rsidRPr="00851CCB" w:rsidRDefault="00896D30" w:rsidP="00896D30">
      <w:pPr>
        <w:pStyle w:val="PargrafodaLista"/>
        <w:spacing w:line="360" w:lineRule="auto"/>
        <w:ind w:left="1068"/>
        <w:jc w:val="both"/>
        <w:rPr>
          <w:rFonts w:ascii="Arial" w:hAnsi="Arial" w:cs="Arial"/>
          <w:sz w:val="24"/>
          <w:szCs w:val="24"/>
        </w:rPr>
      </w:pPr>
    </w:p>
    <w:p w:rsidR="00B34FD2" w:rsidRPr="00851CCB" w:rsidRDefault="00B34FD2" w:rsidP="00896D30">
      <w:pPr>
        <w:pStyle w:val="PargrafodaLista"/>
        <w:spacing w:line="360" w:lineRule="auto"/>
        <w:ind w:left="0" w:firstLine="708"/>
        <w:jc w:val="both"/>
        <w:rPr>
          <w:rFonts w:ascii="Arial" w:hAnsi="Arial" w:cs="Arial"/>
          <w:sz w:val="24"/>
          <w:szCs w:val="24"/>
        </w:rPr>
      </w:pPr>
      <w:r w:rsidRPr="00851CCB">
        <w:rPr>
          <w:rFonts w:ascii="Arial" w:hAnsi="Arial" w:cs="Arial"/>
          <w:sz w:val="24"/>
          <w:szCs w:val="24"/>
        </w:rPr>
        <w:t xml:space="preserve">Além disso, é vantagem para o Iterpe e o Governo de Pernambuco estar presente nas várias comunidades nas quais o </w:t>
      </w:r>
      <w:r w:rsidR="009D1208" w:rsidRPr="00851CCB">
        <w:rPr>
          <w:rFonts w:ascii="Arial" w:hAnsi="Arial" w:cs="Arial"/>
          <w:sz w:val="24"/>
          <w:szCs w:val="24"/>
        </w:rPr>
        <w:t>INCRA</w:t>
      </w:r>
      <w:r w:rsidRPr="00851CCB">
        <w:rPr>
          <w:rFonts w:ascii="Arial" w:hAnsi="Arial" w:cs="Arial"/>
          <w:sz w:val="24"/>
          <w:szCs w:val="24"/>
        </w:rPr>
        <w:t xml:space="preserve"> vem trabalhando, proporcionando visibilidade </w:t>
      </w:r>
      <w:r w:rsidR="00F004DC" w:rsidRPr="00851CCB">
        <w:rPr>
          <w:rFonts w:ascii="Arial" w:hAnsi="Arial" w:cs="Arial"/>
          <w:sz w:val="24"/>
          <w:szCs w:val="24"/>
        </w:rPr>
        <w:t xml:space="preserve">e acessibilidade </w:t>
      </w:r>
      <w:r w:rsidR="00B81A34" w:rsidRPr="00851CCB">
        <w:rPr>
          <w:rFonts w:ascii="Arial" w:hAnsi="Arial" w:cs="Arial"/>
          <w:sz w:val="24"/>
          <w:szCs w:val="24"/>
        </w:rPr>
        <w:t xml:space="preserve">a </w:t>
      </w:r>
      <w:r w:rsidR="00F004DC" w:rsidRPr="00851CCB">
        <w:rPr>
          <w:rFonts w:ascii="Arial" w:hAnsi="Arial" w:cs="Arial"/>
          <w:sz w:val="24"/>
          <w:szCs w:val="24"/>
        </w:rPr>
        <w:t>estas ações</w:t>
      </w:r>
      <w:r w:rsidRPr="00851CCB">
        <w:rPr>
          <w:rFonts w:ascii="Arial" w:hAnsi="Arial" w:cs="Arial"/>
          <w:sz w:val="24"/>
          <w:szCs w:val="24"/>
        </w:rPr>
        <w:t xml:space="preserve">, assim como </w:t>
      </w:r>
      <w:r w:rsidR="00B81A34" w:rsidRPr="00851CCB">
        <w:rPr>
          <w:rFonts w:ascii="Arial" w:hAnsi="Arial" w:cs="Arial"/>
          <w:sz w:val="24"/>
          <w:szCs w:val="24"/>
        </w:rPr>
        <w:lastRenderedPageBreak/>
        <w:t>tornando-se</w:t>
      </w:r>
      <w:r w:rsidRPr="00851CCB">
        <w:rPr>
          <w:rFonts w:ascii="Arial" w:hAnsi="Arial" w:cs="Arial"/>
          <w:sz w:val="24"/>
          <w:szCs w:val="24"/>
        </w:rPr>
        <w:t xml:space="preserve"> uma forma muito mais rápida e econômica de atingir as metas estabelecidas para essa temática</w:t>
      </w:r>
      <w:r w:rsidR="00907A02" w:rsidRPr="00851CCB">
        <w:rPr>
          <w:rFonts w:ascii="Arial" w:hAnsi="Arial" w:cs="Arial"/>
          <w:sz w:val="24"/>
          <w:szCs w:val="24"/>
        </w:rPr>
        <w:t>.</w:t>
      </w:r>
    </w:p>
    <w:p w:rsidR="00861146" w:rsidRPr="00851CCB" w:rsidRDefault="008B6AF7" w:rsidP="003F3323">
      <w:pPr>
        <w:spacing w:line="360" w:lineRule="auto"/>
        <w:jc w:val="both"/>
        <w:rPr>
          <w:rFonts w:ascii="Arial" w:hAnsi="Arial" w:cs="Arial"/>
          <w:sz w:val="24"/>
          <w:szCs w:val="24"/>
        </w:rPr>
      </w:pPr>
      <w:r w:rsidRPr="00851CCB">
        <w:rPr>
          <w:rFonts w:ascii="Arial" w:hAnsi="Arial" w:cs="Arial"/>
          <w:sz w:val="24"/>
          <w:szCs w:val="24"/>
        </w:rPr>
        <w:tab/>
      </w:r>
      <w:r w:rsidR="0066545D" w:rsidRPr="00851CCB">
        <w:rPr>
          <w:rFonts w:ascii="Arial" w:hAnsi="Arial" w:cs="Arial"/>
          <w:sz w:val="24"/>
          <w:szCs w:val="24"/>
        </w:rPr>
        <w:t>Adotando esta parceria</w:t>
      </w:r>
      <w:r w:rsidRPr="00851CCB">
        <w:rPr>
          <w:rFonts w:ascii="Arial" w:hAnsi="Arial" w:cs="Arial"/>
          <w:sz w:val="24"/>
          <w:szCs w:val="24"/>
        </w:rPr>
        <w:t xml:space="preserve">, as comunidades alvo </w:t>
      </w:r>
      <w:r w:rsidR="00B81A34" w:rsidRPr="00851CCB">
        <w:rPr>
          <w:rFonts w:ascii="Arial" w:hAnsi="Arial" w:cs="Arial"/>
          <w:sz w:val="24"/>
          <w:szCs w:val="24"/>
        </w:rPr>
        <w:t>destas ações são preferencialmente</w:t>
      </w:r>
      <w:r w:rsidR="0066545D" w:rsidRPr="00851CCB">
        <w:rPr>
          <w:rFonts w:ascii="Arial" w:hAnsi="Arial" w:cs="Arial"/>
          <w:sz w:val="24"/>
          <w:szCs w:val="24"/>
        </w:rPr>
        <w:t xml:space="preserve"> as que estão com o processo </w:t>
      </w:r>
      <w:r w:rsidRPr="00851CCB">
        <w:rPr>
          <w:rFonts w:ascii="Arial" w:hAnsi="Arial" w:cs="Arial"/>
          <w:sz w:val="24"/>
          <w:szCs w:val="24"/>
        </w:rPr>
        <w:t xml:space="preserve">do RTID já iniciado pelo INCRA, estando </w:t>
      </w:r>
      <w:r w:rsidR="00E45E63" w:rsidRPr="00851CCB">
        <w:rPr>
          <w:rFonts w:ascii="Arial" w:hAnsi="Arial" w:cs="Arial"/>
          <w:sz w:val="24"/>
          <w:szCs w:val="24"/>
        </w:rPr>
        <w:t xml:space="preserve">cada uma delas </w:t>
      </w:r>
      <w:r w:rsidR="007C6BBD" w:rsidRPr="00851CCB">
        <w:rPr>
          <w:rFonts w:ascii="Arial" w:hAnsi="Arial" w:cs="Arial"/>
          <w:sz w:val="24"/>
          <w:szCs w:val="24"/>
        </w:rPr>
        <w:t>em diferentes fases do processo</w:t>
      </w:r>
      <w:r w:rsidR="00E45E63" w:rsidRPr="00851CCB">
        <w:rPr>
          <w:rFonts w:ascii="Arial" w:hAnsi="Arial" w:cs="Arial"/>
          <w:sz w:val="24"/>
          <w:szCs w:val="24"/>
        </w:rPr>
        <w:t xml:space="preserve"> de regularização.</w:t>
      </w:r>
    </w:p>
    <w:p w:rsidR="00861146" w:rsidRPr="00851CCB" w:rsidRDefault="00861146" w:rsidP="00A67E98">
      <w:pPr>
        <w:spacing w:line="360" w:lineRule="auto"/>
        <w:jc w:val="both"/>
        <w:rPr>
          <w:rFonts w:ascii="Arial" w:hAnsi="Arial" w:cs="Arial"/>
          <w:sz w:val="24"/>
          <w:szCs w:val="24"/>
        </w:rPr>
      </w:pPr>
      <w:r w:rsidRPr="00851CCB">
        <w:rPr>
          <w:rFonts w:ascii="Arial" w:hAnsi="Arial" w:cs="Arial"/>
          <w:sz w:val="24"/>
          <w:szCs w:val="24"/>
        </w:rPr>
        <w:tab/>
      </w:r>
      <w:r w:rsidR="0066545D" w:rsidRPr="00851CCB">
        <w:rPr>
          <w:rFonts w:ascii="Arial" w:hAnsi="Arial" w:cs="Arial"/>
          <w:sz w:val="24"/>
          <w:szCs w:val="24"/>
        </w:rPr>
        <w:t>Também seria</w:t>
      </w:r>
      <w:r w:rsidRPr="00851CCB">
        <w:rPr>
          <w:rFonts w:ascii="Arial" w:hAnsi="Arial" w:cs="Arial"/>
          <w:sz w:val="24"/>
          <w:szCs w:val="24"/>
        </w:rPr>
        <w:t xml:space="preserve"> ação do ITERPE, de acordo com o Decreto </w:t>
      </w:r>
      <w:r w:rsidR="0066545D" w:rsidRPr="00851CCB">
        <w:rPr>
          <w:rFonts w:ascii="Arial" w:hAnsi="Arial" w:cs="Arial"/>
          <w:sz w:val="24"/>
          <w:szCs w:val="24"/>
        </w:rPr>
        <w:t xml:space="preserve">Estadual </w:t>
      </w:r>
      <w:r w:rsidRPr="00851CCB">
        <w:rPr>
          <w:rFonts w:ascii="Arial" w:hAnsi="Arial" w:cs="Arial"/>
          <w:sz w:val="24"/>
          <w:szCs w:val="24"/>
        </w:rPr>
        <w:t>38.960, a regularização das terras devolutas nas comunidades com processo em andamento, mediante o procedimento de arrecadação sumária.</w:t>
      </w:r>
    </w:p>
    <w:p w:rsidR="008B6AF7" w:rsidRPr="00851CCB" w:rsidRDefault="001A3AA1" w:rsidP="003F3323">
      <w:pPr>
        <w:spacing w:line="360" w:lineRule="auto"/>
        <w:ind w:firstLine="708"/>
        <w:jc w:val="both"/>
        <w:rPr>
          <w:rFonts w:ascii="Arial" w:hAnsi="Arial" w:cs="Arial"/>
          <w:sz w:val="24"/>
          <w:szCs w:val="24"/>
        </w:rPr>
      </w:pPr>
      <w:r w:rsidRPr="00851CCB">
        <w:rPr>
          <w:rFonts w:ascii="Arial" w:hAnsi="Arial" w:cs="Arial"/>
          <w:sz w:val="24"/>
          <w:szCs w:val="24"/>
        </w:rPr>
        <w:t>Além dessas ações, propomos</w:t>
      </w:r>
      <w:r w:rsidR="00A67E98" w:rsidRPr="00851CCB">
        <w:rPr>
          <w:rFonts w:ascii="Arial" w:hAnsi="Arial" w:cs="Arial"/>
          <w:sz w:val="24"/>
          <w:szCs w:val="24"/>
        </w:rPr>
        <w:t xml:space="preserve"> </w:t>
      </w:r>
      <w:r w:rsidR="005061AB" w:rsidRPr="00851CCB">
        <w:rPr>
          <w:rFonts w:ascii="Arial" w:hAnsi="Arial" w:cs="Arial"/>
          <w:sz w:val="24"/>
          <w:szCs w:val="24"/>
        </w:rPr>
        <w:t xml:space="preserve">desenvolver um registro fotográfico das comunidades, </w:t>
      </w:r>
      <w:r w:rsidR="009330AA" w:rsidRPr="00851CCB">
        <w:rPr>
          <w:rFonts w:ascii="Arial" w:hAnsi="Arial" w:cs="Arial"/>
          <w:sz w:val="24"/>
          <w:szCs w:val="24"/>
        </w:rPr>
        <w:t>possibilitando a realização de</w:t>
      </w:r>
      <w:r w:rsidR="005061AB" w:rsidRPr="00851CCB">
        <w:rPr>
          <w:rFonts w:ascii="Arial" w:hAnsi="Arial" w:cs="Arial"/>
          <w:sz w:val="24"/>
          <w:szCs w:val="24"/>
        </w:rPr>
        <w:t xml:space="preserve"> uma exposição itinerante,</w:t>
      </w:r>
      <w:r w:rsidR="00DA6DA4" w:rsidRPr="00851CCB">
        <w:rPr>
          <w:rFonts w:ascii="Arial" w:hAnsi="Arial" w:cs="Arial"/>
          <w:sz w:val="24"/>
          <w:szCs w:val="24"/>
        </w:rPr>
        <w:t xml:space="preserve"> com o objetivo de divulgação e conscientização</w:t>
      </w:r>
      <w:r w:rsidR="009330AA" w:rsidRPr="00851CCB">
        <w:rPr>
          <w:rFonts w:ascii="Arial" w:hAnsi="Arial" w:cs="Arial"/>
          <w:sz w:val="24"/>
          <w:szCs w:val="24"/>
        </w:rPr>
        <w:t xml:space="preserve"> acerca do tema</w:t>
      </w:r>
      <w:r w:rsidR="00DA6DA4" w:rsidRPr="00851CCB">
        <w:rPr>
          <w:rFonts w:ascii="Arial" w:hAnsi="Arial" w:cs="Arial"/>
          <w:sz w:val="24"/>
          <w:szCs w:val="24"/>
        </w:rPr>
        <w:t>.</w:t>
      </w:r>
    </w:p>
    <w:p w:rsidR="007A09EA" w:rsidRPr="00851CCB" w:rsidRDefault="007A09EA" w:rsidP="003F3323">
      <w:pPr>
        <w:spacing w:line="360" w:lineRule="auto"/>
        <w:jc w:val="both"/>
        <w:rPr>
          <w:rFonts w:ascii="Arial" w:hAnsi="Arial" w:cs="Arial"/>
          <w:b/>
          <w:smallCaps/>
          <w:sz w:val="24"/>
          <w:szCs w:val="24"/>
        </w:rPr>
      </w:pPr>
      <w:r w:rsidRPr="00851CCB">
        <w:rPr>
          <w:rFonts w:ascii="Arial" w:hAnsi="Arial" w:cs="Arial"/>
          <w:b/>
          <w:smallCaps/>
          <w:sz w:val="24"/>
          <w:szCs w:val="24"/>
        </w:rPr>
        <w:t>Áreas</w:t>
      </w:r>
    </w:p>
    <w:p w:rsidR="001A3AA1" w:rsidRDefault="00A67E98" w:rsidP="00F91976">
      <w:pPr>
        <w:spacing w:line="360" w:lineRule="auto"/>
        <w:ind w:firstLine="708"/>
        <w:jc w:val="both"/>
        <w:rPr>
          <w:rFonts w:ascii="Arial" w:hAnsi="Arial" w:cs="Arial"/>
          <w:sz w:val="24"/>
          <w:szCs w:val="24"/>
        </w:rPr>
      </w:pPr>
      <w:r w:rsidRPr="00851CCB">
        <w:rPr>
          <w:rFonts w:ascii="Arial" w:hAnsi="Arial" w:cs="Arial"/>
          <w:sz w:val="24"/>
          <w:szCs w:val="24"/>
        </w:rPr>
        <w:t>No Estado de Pernambuco, existem 1</w:t>
      </w:r>
      <w:r w:rsidR="00DD04CD" w:rsidRPr="00851CCB">
        <w:rPr>
          <w:rFonts w:ascii="Arial" w:hAnsi="Arial" w:cs="Arial"/>
          <w:sz w:val="24"/>
          <w:szCs w:val="24"/>
        </w:rPr>
        <w:t xml:space="preserve">37 </w:t>
      </w:r>
      <w:r w:rsidRPr="00851CCB">
        <w:rPr>
          <w:rFonts w:ascii="Arial" w:hAnsi="Arial" w:cs="Arial"/>
          <w:sz w:val="24"/>
          <w:szCs w:val="24"/>
        </w:rPr>
        <w:t>comunidades</w:t>
      </w:r>
      <w:r w:rsidR="009D1208">
        <w:rPr>
          <w:rFonts w:ascii="Arial" w:hAnsi="Arial" w:cs="Arial"/>
          <w:sz w:val="24"/>
          <w:szCs w:val="24"/>
        </w:rPr>
        <w:t xml:space="preserve"> </w:t>
      </w:r>
      <w:r w:rsidRPr="00851CCB">
        <w:rPr>
          <w:rFonts w:ascii="Arial" w:hAnsi="Arial" w:cs="Arial"/>
          <w:sz w:val="24"/>
          <w:szCs w:val="24"/>
        </w:rPr>
        <w:t>certificadas pela Fundação Palmares</w:t>
      </w:r>
      <w:r w:rsidR="00005966" w:rsidRPr="00851CCB">
        <w:rPr>
          <w:rFonts w:ascii="Arial" w:hAnsi="Arial" w:cs="Arial"/>
          <w:sz w:val="24"/>
          <w:szCs w:val="24"/>
        </w:rPr>
        <w:t xml:space="preserve"> e </w:t>
      </w:r>
      <w:r w:rsidR="005A6CB4" w:rsidRPr="00851CCB">
        <w:rPr>
          <w:rFonts w:ascii="Arial" w:hAnsi="Arial" w:cs="Arial"/>
          <w:sz w:val="24"/>
          <w:szCs w:val="24"/>
        </w:rPr>
        <w:t>78</w:t>
      </w:r>
      <w:r w:rsidR="00005966" w:rsidRPr="00851CCB">
        <w:rPr>
          <w:rFonts w:ascii="Arial" w:hAnsi="Arial" w:cs="Arial"/>
          <w:sz w:val="24"/>
          <w:szCs w:val="24"/>
        </w:rPr>
        <w:t xml:space="preserve"> com proc</w:t>
      </w:r>
      <w:r w:rsidR="009D1208">
        <w:rPr>
          <w:rFonts w:ascii="Arial" w:hAnsi="Arial" w:cs="Arial"/>
          <w:sz w:val="24"/>
          <w:szCs w:val="24"/>
        </w:rPr>
        <w:t>essos abertos no INCRA</w:t>
      </w:r>
      <w:r w:rsidR="00005966" w:rsidRPr="00851CCB">
        <w:rPr>
          <w:rFonts w:ascii="Arial" w:hAnsi="Arial" w:cs="Arial"/>
          <w:sz w:val="24"/>
          <w:szCs w:val="24"/>
        </w:rPr>
        <w:t>, pois nem todas querem adotar o modelo determinado pela Lei</w:t>
      </w:r>
      <w:r w:rsidRPr="00851CCB">
        <w:rPr>
          <w:rFonts w:ascii="Arial" w:hAnsi="Arial" w:cs="Arial"/>
          <w:sz w:val="24"/>
          <w:szCs w:val="24"/>
        </w:rPr>
        <w:t>. Cada uma está em um diferente momen</w:t>
      </w:r>
      <w:r w:rsidR="00005966" w:rsidRPr="00851CCB">
        <w:rPr>
          <w:rFonts w:ascii="Arial" w:hAnsi="Arial" w:cs="Arial"/>
          <w:sz w:val="24"/>
          <w:szCs w:val="24"/>
        </w:rPr>
        <w:t xml:space="preserve">to do processo de regularização. </w:t>
      </w:r>
      <w:r w:rsidR="00AE47A5" w:rsidRPr="00851CCB">
        <w:rPr>
          <w:rFonts w:ascii="Arial" w:hAnsi="Arial" w:cs="Arial"/>
          <w:sz w:val="24"/>
          <w:szCs w:val="24"/>
        </w:rPr>
        <w:t xml:space="preserve">Neste momento, </w:t>
      </w:r>
      <w:r w:rsidR="00DE7A0E" w:rsidRPr="00851CCB">
        <w:rPr>
          <w:rFonts w:ascii="Arial" w:hAnsi="Arial" w:cs="Arial"/>
          <w:sz w:val="24"/>
          <w:szCs w:val="24"/>
        </w:rPr>
        <w:t>oito</w:t>
      </w:r>
      <w:r w:rsidR="00AE47A5" w:rsidRPr="00851CCB">
        <w:rPr>
          <w:rFonts w:ascii="Arial" w:hAnsi="Arial" w:cs="Arial"/>
          <w:sz w:val="24"/>
          <w:szCs w:val="24"/>
        </w:rPr>
        <w:t xml:space="preserve"> comunidades estão </w:t>
      </w:r>
      <w:r w:rsidR="002038BC" w:rsidRPr="00851CCB">
        <w:rPr>
          <w:rFonts w:ascii="Arial" w:hAnsi="Arial" w:cs="Arial"/>
          <w:sz w:val="24"/>
          <w:szCs w:val="24"/>
        </w:rPr>
        <w:t xml:space="preserve">em processo </w:t>
      </w:r>
      <w:r w:rsidR="00762CD8" w:rsidRPr="00851CCB">
        <w:rPr>
          <w:rFonts w:ascii="Arial" w:hAnsi="Arial" w:cs="Arial"/>
          <w:sz w:val="24"/>
          <w:szCs w:val="24"/>
        </w:rPr>
        <w:t>de execução do RTID</w:t>
      </w:r>
      <w:r w:rsidR="00C61F76" w:rsidRPr="00851CCB">
        <w:rPr>
          <w:rFonts w:ascii="Arial" w:hAnsi="Arial" w:cs="Arial"/>
          <w:sz w:val="24"/>
          <w:szCs w:val="24"/>
        </w:rPr>
        <w:t xml:space="preserve">, </w:t>
      </w:r>
      <w:r w:rsidR="00762CD8" w:rsidRPr="00851CCB">
        <w:rPr>
          <w:rFonts w:ascii="Arial" w:hAnsi="Arial" w:cs="Arial"/>
          <w:sz w:val="24"/>
          <w:szCs w:val="24"/>
        </w:rPr>
        <w:t xml:space="preserve">representando um volume de trabalho muito grande diante do número de funcionários </w:t>
      </w:r>
      <w:r w:rsidR="00115465">
        <w:rPr>
          <w:rFonts w:ascii="Arial" w:hAnsi="Arial" w:cs="Arial"/>
          <w:sz w:val="24"/>
          <w:szCs w:val="24"/>
        </w:rPr>
        <w:t>dedicados à questão quilombola</w:t>
      </w:r>
      <w:r w:rsidR="000E4CD2" w:rsidRPr="00851CCB">
        <w:rPr>
          <w:rFonts w:ascii="Arial" w:hAnsi="Arial" w:cs="Arial"/>
          <w:sz w:val="24"/>
          <w:szCs w:val="24"/>
        </w:rPr>
        <w:t xml:space="preserve">. As comunidades estão </w:t>
      </w:r>
      <w:r w:rsidR="00C61F76" w:rsidRPr="00851CCB">
        <w:rPr>
          <w:rFonts w:ascii="Arial" w:hAnsi="Arial" w:cs="Arial"/>
          <w:sz w:val="24"/>
          <w:szCs w:val="24"/>
        </w:rPr>
        <w:t>detalhadas na tabela a seguir:</w:t>
      </w:r>
    </w:p>
    <w:p w:rsidR="00115465" w:rsidRDefault="00115465" w:rsidP="00434D16">
      <w:pPr>
        <w:rPr>
          <w:rFonts w:ascii="Arial" w:hAnsi="Arial" w:cs="Arial"/>
          <w:b/>
          <w:sz w:val="24"/>
          <w:szCs w:val="24"/>
        </w:rPr>
      </w:pPr>
    </w:p>
    <w:p w:rsidR="00115465" w:rsidRDefault="00115465" w:rsidP="009D1208">
      <w:pPr>
        <w:ind w:firstLine="708"/>
        <w:rPr>
          <w:rFonts w:ascii="Arial" w:hAnsi="Arial" w:cs="Arial"/>
          <w:b/>
          <w:sz w:val="24"/>
          <w:szCs w:val="24"/>
        </w:rPr>
      </w:pPr>
    </w:p>
    <w:p w:rsidR="009D1208" w:rsidRPr="005C18D3" w:rsidRDefault="009D1208" w:rsidP="009D1208">
      <w:pPr>
        <w:ind w:firstLine="708"/>
        <w:rPr>
          <w:rFonts w:ascii="Arial" w:hAnsi="Arial" w:cs="Arial"/>
          <w:b/>
          <w:sz w:val="24"/>
          <w:szCs w:val="24"/>
        </w:rPr>
      </w:pPr>
      <w:r w:rsidRPr="005C18D3">
        <w:rPr>
          <w:rFonts w:ascii="Arial" w:hAnsi="Arial" w:cs="Arial"/>
          <w:b/>
          <w:sz w:val="24"/>
          <w:szCs w:val="24"/>
        </w:rPr>
        <w:t>Atuação do Iterpe junto às</w:t>
      </w:r>
      <w:r w:rsidR="0025383B">
        <w:rPr>
          <w:rFonts w:ascii="Arial" w:hAnsi="Arial" w:cs="Arial"/>
          <w:b/>
          <w:sz w:val="24"/>
          <w:szCs w:val="24"/>
        </w:rPr>
        <w:t xml:space="preserve"> comunidades quilombolas até 2020</w:t>
      </w:r>
      <w:r w:rsidRPr="005C18D3">
        <w:rPr>
          <w:rFonts w:ascii="Arial" w:hAnsi="Arial" w:cs="Arial"/>
          <w:b/>
          <w:sz w:val="24"/>
          <w:szCs w:val="24"/>
        </w:rPr>
        <w:t>:</w:t>
      </w:r>
    </w:p>
    <w:tbl>
      <w:tblPr>
        <w:tblW w:w="9922" w:type="dxa"/>
        <w:tblInd w:w="-371" w:type="dxa"/>
        <w:tblLayout w:type="fixed"/>
        <w:tblCellMar>
          <w:top w:w="55" w:type="dxa"/>
          <w:left w:w="55" w:type="dxa"/>
          <w:bottom w:w="55" w:type="dxa"/>
          <w:right w:w="55" w:type="dxa"/>
        </w:tblCellMar>
        <w:tblLook w:val="0000"/>
      </w:tblPr>
      <w:tblGrid>
        <w:gridCol w:w="993"/>
        <w:gridCol w:w="2171"/>
        <w:gridCol w:w="1657"/>
        <w:gridCol w:w="1700"/>
        <w:gridCol w:w="1276"/>
        <w:gridCol w:w="708"/>
        <w:gridCol w:w="1417"/>
      </w:tblGrid>
      <w:tr w:rsidR="009D1208" w:rsidRPr="00434D16" w:rsidTr="00577B10">
        <w:trPr>
          <w:trHeight w:val="276"/>
        </w:trPr>
        <w:tc>
          <w:tcPr>
            <w:tcW w:w="993"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Executor</w:t>
            </w:r>
          </w:p>
        </w:tc>
        <w:tc>
          <w:tcPr>
            <w:tcW w:w="2171"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Ação</w:t>
            </w:r>
          </w:p>
        </w:tc>
        <w:tc>
          <w:tcPr>
            <w:tcW w:w="1657"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Metas</w:t>
            </w:r>
          </w:p>
        </w:tc>
        <w:tc>
          <w:tcPr>
            <w:tcW w:w="1700"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Área atendida</w:t>
            </w:r>
          </w:p>
        </w:tc>
        <w:tc>
          <w:tcPr>
            <w:tcW w:w="1276"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Nº de famílias atendidas</w:t>
            </w:r>
          </w:p>
        </w:tc>
        <w:tc>
          <w:tcPr>
            <w:tcW w:w="708" w:type="dxa"/>
            <w:tcBorders>
              <w:top w:val="single" w:sz="1" w:space="0" w:color="000000"/>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Valor</w:t>
            </w:r>
          </w:p>
        </w:tc>
        <w:tc>
          <w:tcPr>
            <w:tcW w:w="1417" w:type="dxa"/>
            <w:tcBorders>
              <w:top w:val="single" w:sz="1" w:space="0" w:color="000000"/>
              <w:left w:val="single" w:sz="1" w:space="0" w:color="000000"/>
              <w:bottom w:val="single" w:sz="1" w:space="0" w:color="000000"/>
              <w:right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 xml:space="preserve">Período de execução </w:t>
            </w:r>
          </w:p>
        </w:tc>
      </w:tr>
      <w:tr w:rsidR="009D1208" w:rsidRPr="00434D16" w:rsidTr="00577B10">
        <w:trPr>
          <w:trHeight w:val="276"/>
        </w:trPr>
        <w:tc>
          <w:tcPr>
            <w:tcW w:w="993"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ITERPE/INCRA</w:t>
            </w:r>
          </w:p>
        </w:tc>
        <w:tc>
          <w:tcPr>
            <w:tcW w:w="2171"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Desintrusão</w:t>
            </w:r>
          </w:p>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Análise e emissão de Documentação</w:t>
            </w:r>
          </w:p>
        </w:tc>
        <w:tc>
          <w:tcPr>
            <w:tcW w:w="1657"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Regularização fundiária</w:t>
            </w:r>
          </w:p>
        </w:tc>
        <w:tc>
          <w:tcPr>
            <w:tcW w:w="1700"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Castainho (Garanhuns)</w:t>
            </w:r>
          </w:p>
        </w:tc>
        <w:tc>
          <w:tcPr>
            <w:tcW w:w="1276"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t>120</w:t>
            </w:r>
          </w:p>
        </w:tc>
        <w:tc>
          <w:tcPr>
            <w:tcW w:w="708"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t>TCT*</w:t>
            </w:r>
          </w:p>
        </w:tc>
        <w:tc>
          <w:tcPr>
            <w:tcW w:w="1417" w:type="dxa"/>
            <w:tcBorders>
              <w:left w:val="single" w:sz="1" w:space="0" w:color="000000"/>
              <w:bottom w:val="single" w:sz="1" w:space="0" w:color="000000"/>
              <w:right w:val="single" w:sz="1" w:space="0" w:color="000000"/>
            </w:tcBorders>
          </w:tcPr>
          <w:p w:rsidR="009D1208" w:rsidRPr="00434D16" w:rsidRDefault="0025383B" w:rsidP="00577B10">
            <w:pPr>
              <w:pStyle w:val="Contedodatabela"/>
              <w:rPr>
                <w:rFonts w:ascii="Arial" w:hAnsi="Arial" w:cs="Arial"/>
                <w:sz w:val="22"/>
                <w:szCs w:val="22"/>
              </w:rPr>
            </w:pPr>
            <w:r>
              <w:rPr>
                <w:rFonts w:ascii="Arial" w:hAnsi="Arial" w:cs="Arial"/>
                <w:sz w:val="22"/>
                <w:szCs w:val="22"/>
              </w:rPr>
              <w:t>Título Emitido em nome da Associação Quilombola de Castainho</w:t>
            </w:r>
          </w:p>
        </w:tc>
      </w:tr>
      <w:tr w:rsidR="009D1208" w:rsidRPr="00434D16" w:rsidTr="00577B10">
        <w:trPr>
          <w:trHeight w:val="276"/>
        </w:trPr>
        <w:tc>
          <w:tcPr>
            <w:tcW w:w="993"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ITERPE/</w:t>
            </w:r>
            <w:r w:rsidRPr="00434D16">
              <w:rPr>
                <w:rFonts w:ascii="Arial" w:hAnsi="Arial" w:cs="Arial"/>
                <w:sz w:val="22"/>
                <w:szCs w:val="22"/>
              </w:rPr>
              <w:lastRenderedPageBreak/>
              <w:t>INCRA</w:t>
            </w:r>
          </w:p>
        </w:tc>
        <w:tc>
          <w:tcPr>
            <w:tcW w:w="2171"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lastRenderedPageBreak/>
              <w:t xml:space="preserve">Levantamento </w:t>
            </w:r>
            <w:r w:rsidRPr="00434D16">
              <w:rPr>
                <w:rFonts w:ascii="Arial" w:hAnsi="Arial" w:cs="Arial"/>
                <w:sz w:val="22"/>
                <w:szCs w:val="22"/>
              </w:rPr>
              <w:lastRenderedPageBreak/>
              <w:t>fundiário e regularização</w:t>
            </w:r>
          </w:p>
        </w:tc>
        <w:tc>
          <w:tcPr>
            <w:tcW w:w="1657"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lastRenderedPageBreak/>
              <w:t xml:space="preserve">Regularização </w:t>
            </w:r>
            <w:r w:rsidRPr="00434D16">
              <w:rPr>
                <w:rFonts w:ascii="Arial" w:hAnsi="Arial" w:cs="Arial"/>
                <w:sz w:val="22"/>
                <w:szCs w:val="22"/>
              </w:rPr>
              <w:lastRenderedPageBreak/>
              <w:t>fundiária</w:t>
            </w:r>
          </w:p>
        </w:tc>
        <w:tc>
          <w:tcPr>
            <w:tcW w:w="1700"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lastRenderedPageBreak/>
              <w:t xml:space="preserve">Timbó </w:t>
            </w:r>
            <w:r w:rsidRPr="00434D16">
              <w:rPr>
                <w:rFonts w:ascii="Arial" w:hAnsi="Arial" w:cs="Arial"/>
                <w:sz w:val="22"/>
                <w:szCs w:val="22"/>
              </w:rPr>
              <w:lastRenderedPageBreak/>
              <w:t>(Garanhuns)</w:t>
            </w:r>
          </w:p>
        </w:tc>
        <w:tc>
          <w:tcPr>
            <w:tcW w:w="1276"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lastRenderedPageBreak/>
              <w:t>44</w:t>
            </w:r>
          </w:p>
        </w:tc>
        <w:tc>
          <w:tcPr>
            <w:tcW w:w="708"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t>TCT*</w:t>
            </w:r>
          </w:p>
        </w:tc>
        <w:tc>
          <w:tcPr>
            <w:tcW w:w="1417" w:type="dxa"/>
            <w:tcBorders>
              <w:left w:val="single" w:sz="1" w:space="0" w:color="000000"/>
              <w:bottom w:val="single" w:sz="1" w:space="0" w:color="000000"/>
              <w:right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 xml:space="preserve">Em </w:t>
            </w:r>
            <w:r w:rsidRPr="00434D16">
              <w:rPr>
                <w:rFonts w:ascii="Arial" w:hAnsi="Arial" w:cs="Arial"/>
                <w:sz w:val="22"/>
                <w:szCs w:val="22"/>
              </w:rPr>
              <w:lastRenderedPageBreak/>
              <w:t>andamento</w:t>
            </w:r>
          </w:p>
        </w:tc>
      </w:tr>
      <w:tr w:rsidR="009D1208" w:rsidRPr="00434D16" w:rsidTr="00577B10">
        <w:trPr>
          <w:trHeight w:val="276"/>
        </w:trPr>
        <w:tc>
          <w:tcPr>
            <w:tcW w:w="993"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lastRenderedPageBreak/>
              <w:t>ITERPE/INCRA</w:t>
            </w:r>
          </w:p>
        </w:tc>
        <w:tc>
          <w:tcPr>
            <w:tcW w:w="2171"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 xml:space="preserve">Oficinas e ação conjunta de antropólogos </w:t>
            </w:r>
          </w:p>
        </w:tc>
        <w:tc>
          <w:tcPr>
            <w:tcW w:w="1657"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Elaboração de Relatório antropológico</w:t>
            </w:r>
          </w:p>
        </w:tc>
        <w:tc>
          <w:tcPr>
            <w:tcW w:w="1700" w:type="dxa"/>
            <w:tcBorders>
              <w:left w:val="single" w:sz="1" w:space="0" w:color="000000"/>
              <w:bottom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Chã dos Negros (Passira)</w:t>
            </w:r>
          </w:p>
        </w:tc>
        <w:tc>
          <w:tcPr>
            <w:tcW w:w="1276"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t>100</w:t>
            </w:r>
          </w:p>
        </w:tc>
        <w:tc>
          <w:tcPr>
            <w:tcW w:w="708" w:type="dxa"/>
            <w:tcBorders>
              <w:left w:val="single" w:sz="1" w:space="0" w:color="000000"/>
              <w:bottom w:val="single" w:sz="1" w:space="0" w:color="000000"/>
            </w:tcBorders>
          </w:tcPr>
          <w:p w:rsidR="009D1208" w:rsidRPr="00434D16" w:rsidRDefault="009D1208" w:rsidP="00577B10">
            <w:pPr>
              <w:pStyle w:val="Contedodatabela"/>
              <w:jc w:val="center"/>
              <w:rPr>
                <w:rFonts w:ascii="Arial" w:hAnsi="Arial" w:cs="Arial"/>
                <w:sz w:val="22"/>
                <w:szCs w:val="22"/>
              </w:rPr>
            </w:pPr>
            <w:r w:rsidRPr="00434D16">
              <w:rPr>
                <w:rFonts w:ascii="Arial" w:hAnsi="Arial" w:cs="Arial"/>
                <w:sz w:val="22"/>
                <w:szCs w:val="22"/>
              </w:rPr>
              <w:t>TCT*</w:t>
            </w:r>
          </w:p>
        </w:tc>
        <w:tc>
          <w:tcPr>
            <w:tcW w:w="1417" w:type="dxa"/>
            <w:tcBorders>
              <w:left w:val="single" w:sz="1" w:space="0" w:color="000000"/>
              <w:bottom w:val="single" w:sz="1" w:space="0" w:color="000000"/>
              <w:right w:val="single" w:sz="1" w:space="0" w:color="000000"/>
            </w:tcBorders>
          </w:tcPr>
          <w:p w:rsidR="009D1208" w:rsidRPr="00434D16" w:rsidRDefault="009D1208" w:rsidP="00577B10">
            <w:pPr>
              <w:pStyle w:val="Contedodatabela"/>
              <w:rPr>
                <w:rFonts w:ascii="Arial" w:hAnsi="Arial" w:cs="Arial"/>
                <w:sz w:val="22"/>
                <w:szCs w:val="22"/>
              </w:rPr>
            </w:pPr>
            <w:r w:rsidRPr="00434D16">
              <w:rPr>
                <w:rFonts w:ascii="Arial" w:hAnsi="Arial" w:cs="Arial"/>
                <w:sz w:val="22"/>
                <w:szCs w:val="22"/>
              </w:rPr>
              <w:t>Em andamento</w:t>
            </w:r>
          </w:p>
        </w:tc>
      </w:tr>
    </w:tbl>
    <w:p w:rsidR="009D1208" w:rsidRPr="00851CCB" w:rsidRDefault="00434D16" w:rsidP="00434D16">
      <w:pPr>
        <w:ind w:left="720"/>
        <w:rPr>
          <w:rFonts w:ascii="Arial" w:hAnsi="Arial" w:cs="Arial"/>
          <w:sz w:val="24"/>
          <w:szCs w:val="24"/>
        </w:rPr>
      </w:pPr>
      <w:r>
        <w:rPr>
          <w:rFonts w:ascii="Arial" w:hAnsi="Arial" w:cs="Arial"/>
          <w:sz w:val="24"/>
          <w:szCs w:val="24"/>
        </w:rPr>
        <w:t>*Termo de Cooperação Técni</w:t>
      </w:r>
    </w:p>
    <w:tbl>
      <w:tblPr>
        <w:tblStyle w:val="Tabelacomgrade"/>
        <w:tblW w:w="9606" w:type="dxa"/>
        <w:jc w:val="center"/>
        <w:tblLook w:val="04A0"/>
      </w:tblPr>
      <w:tblGrid>
        <w:gridCol w:w="478"/>
        <w:gridCol w:w="2136"/>
        <w:gridCol w:w="2320"/>
        <w:gridCol w:w="4672"/>
      </w:tblGrid>
      <w:tr w:rsidR="0095067D" w:rsidRPr="00851CCB" w:rsidTr="005E3B25">
        <w:trPr>
          <w:jc w:val="center"/>
        </w:trPr>
        <w:tc>
          <w:tcPr>
            <w:tcW w:w="478" w:type="dxa"/>
            <w:shd w:val="clear" w:color="auto" w:fill="E36C0A" w:themeFill="accent6" w:themeFillShade="BF"/>
          </w:tcPr>
          <w:p w:rsidR="0095067D" w:rsidRPr="009D1208" w:rsidRDefault="0095067D" w:rsidP="003F3323">
            <w:pPr>
              <w:spacing w:line="360" w:lineRule="auto"/>
              <w:rPr>
                <w:rFonts w:ascii="Arial" w:hAnsi="Arial" w:cs="Arial"/>
                <w:smallCaps/>
                <w:color w:val="FFFFFF" w:themeColor="background1"/>
              </w:rPr>
            </w:pPr>
          </w:p>
        </w:tc>
        <w:tc>
          <w:tcPr>
            <w:tcW w:w="2136" w:type="dxa"/>
            <w:shd w:val="clear" w:color="auto" w:fill="E36C0A" w:themeFill="accent6" w:themeFillShade="BF"/>
          </w:tcPr>
          <w:p w:rsidR="0095067D" w:rsidRPr="009D1208" w:rsidRDefault="0095067D" w:rsidP="003F3323">
            <w:pPr>
              <w:spacing w:line="360" w:lineRule="auto"/>
              <w:rPr>
                <w:rFonts w:ascii="Arial" w:hAnsi="Arial" w:cs="Arial"/>
                <w:smallCaps/>
                <w:color w:val="FFFFFF" w:themeColor="background1"/>
              </w:rPr>
            </w:pPr>
            <w:r w:rsidRPr="009D1208">
              <w:rPr>
                <w:rFonts w:ascii="Arial" w:hAnsi="Arial" w:cs="Arial"/>
                <w:smallCaps/>
                <w:color w:val="FFFFFF" w:themeColor="background1"/>
              </w:rPr>
              <w:t>Comunidade</w:t>
            </w:r>
          </w:p>
        </w:tc>
        <w:tc>
          <w:tcPr>
            <w:tcW w:w="2320" w:type="dxa"/>
            <w:shd w:val="clear" w:color="auto" w:fill="E36C0A" w:themeFill="accent6" w:themeFillShade="BF"/>
          </w:tcPr>
          <w:p w:rsidR="0095067D" w:rsidRPr="009D1208" w:rsidRDefault="0095067D" w:rsidP="003F3323">
            <w:pPr>
              <w:spacing w:line="360" w:lineRule="auto"/>
              <w:rPr>
                <w:rFonts w:ascii="Arial" w:hAnsi="Arial" w:cs="Arial"/>
                <w:smallCaps/>
                <w:color w:val="FFFFFF" w:themeColor="background1"/>
              </w:rPr>
            </w:pPr>
            <w:r w:rsidRPr="009D1208">
              <w:rPr>
                <w:rFonts w:ascii="Arial" w:hAnsi="Arial" w:cs="Arial"/>
                <w:smallCaps/>
                <w:color w:val="FFFFFF" w:themeColor="background1"/>
              </w:rPr>
              <w:t>Município</w:t>
            </w:r>
          </w:p>
        </w:tc>
        <w:tc>
          <w:tcPr>
            <w:tcW w:w="4672" w:type="dxa"/>
            <w:shd w:val="clear" w:color="auto" w:fill="E36C0A" w:themeFill="accent6" w:themeFillShade="BF"/>
          </w:tcPr>
          <w:p w:rsidR="0095067D" w:rsidRPr="009D1208" w:rsidRDefault="0037012C" w:rsidP="003F3323">
            <w:pPr>
              <w:spacing w:line="360" w:lineRule="auto"/>
              <w:rPr>
                <w:rFonts w:ascii="Arial" w:hAnsi="Arial" w:cs="Arial"/>
                <w:smallCaps/>
                <w:color w:val="FFFFFF" w:themeColor="background1"/>
              </w:rPr>
            </w:pPr>
            <w:r w:rsidRPr="009D1208">
              <w:rPr>
                <w:rFonts w:ascii="Arial" w:hAnsi="Arial" w:cs="Arial"/>
                <w:smallCaps/>
                <w:color w:val="FFFFFF" w:themeColor="background1"/>
              </w:rPr>
              <w:t>Situação</w:t>
            </w:r>
          </w:p>
        </w:tc>
      </w:tr>
      <w:tr w:rsidR="0037012C" w:rsidRPr="00851CCB" w:rsidTr="005E3B25">
        <w:trPr>
          <w:jc w:val="center"/>
        </w:trPr>
        <w:tc>
          <w:tcPr>
            <w:tcW w:w="478" w:type="dxa"/>
          </w:tcPr>
          <w:p w:rsidR="0037012C" w:rsidRPr="009D1208" w:rsidRDefault="004A37E7" w:rsidP="004A37E7">
            <w:pPr>
              <w:tabs>
                <w:tab w:val="center" w:pos="131"/>
              </w:tabs>
              <w:spacing w:line="360" w:lineRule="auto"/>
              <w:rPr>
                <w:rFonts w:ascii="Arial" w:hAnsi="Arial" w:cs="Arial"/>
              </w:rPr>
            </w:pPr>
            <w:r>
              <w:rPr>
                <w:rFonts w:ascii="Arial" w:hAnsi="Arial" w:cs="Arial"/>
              </w:rPr>
              <w:tab/>
            </w:r>
            <w:r w:rsidR="00005966" w:rsidRPr="009D1208">
              <w:rPr>
                <w:rFonts w:ascii="Arial" w:hAnsi="Arial" w:cs="Arial"/>
              </w:rPr>
              <w:t>1</w:t>
            </w:r>
          </w:p>
        </w:tc>
        <w:tc>
          <w:tcPr>
            <w:tcW w:w="2136" w:type="dxa"/>
            <w:shd w:val="clear" w:color="auto" w:fill="auto"/>
          </w:tcPr>
          <w:p w:rsidR="0037012C" w:rsidRPr="009D1208" w:rsidRDefault="0037012C" w:rsidP="0037012C">
            <w:pPr>
              <w:spacing w:line="360" w:lineRule="auto"/>
              <w:rPr>
                <w:rFonts w:ascii="Arial" w:hAnsi="Arial" w:cs="Arial"/>
              </w:rPr>
            </w:pPr>
            <w:r w:rsidRPr="009D1208">
              <w:rPr>
                <w:rFonts w:ascii="Arial" w:hAnsi="Arial" w:cs="Arial"/>
              </w:rPr>
              <w:t>Chã dos Negros</w:t>
            </w:r>
          </w:p>
        </w:tc>
        <w:tc>
          <w:tcPr>
            <w:tcW w:w="2320" w:type="dxa"/>
            <w:shd w:val="clear" w:color="auto" w:fill="auto"/>
          </w:tcPr>
          <w:p w:rsidR="0037012C" w:rsidRPr="009D1208" w:rsidRDefault="0037012C" w:rsidP="0037012C">
            <w:pPr>
              <w:spacing w:line="360" w:lineRule="auto"/>
              <w:rPr>
                <w:rFonts w:ascii="Arial" w:hAnsi="Arial" w:cs="Arial"/>
              </w:rPr>
            </w:pPr>
            <w:r w:rsidRPr="009D1208">
              <w:rPr>
                <w:rFonts w:ascii="Arial" w:hAnsi="Arial" w:cs="Arial"/>
              </w:rPr>
              <w:t>Passira</w:t>
            </w:r>
          </w:p>
        </w:tc>
        <w:tc>
          <w:tcPr>
            <w:tcW w:w="4672" w:type="dxa"/>
          </w:tcPr>
          <w:p w:rsidR="0037012C" w:rsidRPr="009D1208" w:rsidRDefault="008122A0" w:rsidP="001A3AA1">
            <w:pPr>
              <w:spacing w:line="360" w:lineRule="auto"/>
              <w:jc w:val="both"/>
              <w:rPr>
                <w:rFonts w:ascii="Arial" w:hAnsi="Arial" w:cs="Arial"/>
              </w:rPr>
            </w:pPr>
            <w:r w:rsidRPr="009D1208">
              <w:rPr>
                <w:rFonts w:ascii="Arial" w:hAnsi="Arial" w:cs="Arial"/>
              </w:rPr>
              <w:t>O trabalho de campo j</w:t>
            </w:r>
            <w:r w:rsidR="009330AA" w:rsidRPr="009D1208">
              <w:rPr>
                <w:rFonts w:ascii="Arial" w:hAnsi="Arial" w:cs="Arial"/>
              </w:rPr>
              <w:t>á foi iniciado em parceria entre</w:t>
            </w:r>
            <w:r w:rsidR="001A3AA1" w:rsidRPr="009D1208">
              <w:rPr>
                <w:rFonts w:ascii="Arial" w:hAnsi="Arial" w:cs="Arial"/>
              </w:rPr>
              <w:t xml:space="preserve"> Iterpe e</w:t>
            </w:r>
            <w:r w:rsidRPr="009D1208">
              <w:rPr>
                <w:rFonts w:ascii="Arial" w:hAnsi="Arial" w:cs="Arial"/>
              </w:rPr>
              <w:t xml:space="preserve"> o Incra. O relatório </w:t>
            </w:r>
            <w:r w:rsidR="00561B6C" w:rsidRPr="009D1208">
              <w:rPr>
                <w:rFonts w:ascii="Arial" w:hAnsi="Arial" w:cs="Arial"/>
              </w:rPr>
              <w:t xml:space="preserve">antropológico está em fase de elaboração, </w:t>
            </w:r>
            <w:r w:rsidR="000E4CD2" w:rsidRPr="009D1208">
              <w:rPr>
                <w:rFonts w:ascii="Arial" w:hAnsi="Arial" w:cs="Arial"/>
              </w:rPr>
              <w:t>sendo realizado</w:t>
            </w:r>
            <w:r w:rsidR="005E3B25" w:rsidRPr="009D1208">
              <w:rPr>
                <w:rFonts w:ascii="Arial" w:hAnsi="Arial" w:cs="Arial"/>
              </w:rPr>
              <w:t xml:space="preserve"> pelas antropólogas do Incra, Isabel Rodrigues e do Iterpe, Clarissa Garcia</w:t>
            </w:r>
          </w:p>
        </w:tc>
      </w:tr>
      <w:tr w:rsidR="0095067D" w:rsidRPr="00851CCB" w:rsidTr="005E3B25">
        <w:trPr>
          <w:jc w:val="center"/>
        </w:trPr>
        <w:tc>
          <w:tcPr>
            <w:tcW w:w="478" w:type="dxa"/>
          </w:tcPr>
          <w:p w:rsidR="0095067D" w:rsidRPr="009D1208" w:rsidRDefault="00005966" w:rsidP="003F3323">
            <w:pPr>
              <w:spacing w:line="360" w:lineRule="auto"/>
              <w:rPr>
                <w:rFonts w:ascii="Arial" w:hAnsi="Arial" w:cs="Arial"/>
              </w:rPr>
            </w:pPr>
            <w:r w:rsidRPr="009D1208">
              <w:rPr>
                <w:rFonts w:ascii="Arial" w:hAnsi="Arial" w:cs="Arial"/>
              </w:rPr>
              <w:t>2</w:t>
            </w:r>
          </w:p>
        </w:tc>
        <w:tc>
          <w:tcPr>
            <w:tcW w:w="2136" w:type="dxa"/>
          </w:tcPr>
          <w:p w:rsidR="0095067D" w:rsidRPr="009D1208" w:rsidRDefault="0095067D" w:rsidP="003F3323">
            <w:pPr>
              <w:spacing w:line="360" w:lineRule="auto"/>
              <w:rPr>
                <w:rFonts w:ascii="Arial" w:hAnsi="Arial" w:cs="Arial"/>
              </w:rPr>
            </w:pPr>
            <w:r w:rsidRPr="009D1208">
              <w:rPr>
                <w:rFonts w:ascii="Arial" w:hAnsi="Arial" w:cs="Arial"/>
              </w:rPr>
              <w:t>Quilombo Pinhão</w:t>
            </w:r>
          </w:p>
        </w:tc>
        <w:tc>
          <w:tcPr>
            <w:tcW w:w="2320" w:type="dxa"/>
          </w:tcPr>
          <w:p w:rsidR="0095067D" w:rsidRPr="009D1208" w:rsidRDefault="0095067D" w:rsidP="003F3323">
            <w:pPr>
              <w:spacing w:line="360" w:lineRule="auto"/>
              <w:rPr>
                <w:rFonts w:ascii="Arial" w:hAnsi="Arial" w:cs="Arial"/>
              </w:rPr>
            </w:pPr>
            <w:r w:rsidRPr="009D1208">
              <w:rPr>
                <w:rFonts w:ascii="Arial" w:hAnsi="Arial" w:cs="Arial"/>
              </w:rPr>
              <w:t>Águas Belas</w:t>
            </w:r>
          </w:p>
        </w:tc>
        <w:tc>
          <w:tcPr>
            <w:tcW w:w="4672" w:type="dxa"/>
          </w:tcPr>
          <w:p w:rsidR="0095067D" w:rsidRPr="009D1208" w:rsidRDefault="0037012C" w:rsidP="001A3AA1">
            <w:pPr>
              <w:spacing w:line="360" w:lineRule="auto"/>
              <w:jc w:val="both"/>
              <w:rPr>
                <w:rFonts w:ascii="Arial" w:hAnsi="Arial" w:cs="Arial"/>
              </w:rPr>
            </w:pPr>
            <w:r w:rsidRPr="009D1208">
              <w:rPr>
                <w:rFonts w:ascii="Arial" w:hAnsi="Arial" w:cs="Arial"/>
              </w:rPr>
              <w:t>Já foi realizado o Relatório antropológico. Deve ser iniciado o levantamento fundiário.</w:t>
            </w:r>
          </w:p>
        </w:tc>
      </w:tr>
      <w:tr w:rsidR="0095067D" w:rsidRPr="00851CCB" w:rsidTr="005E3B25">
        <w:trPr>
          <w:jc w:val="center"/>
        </w:trPr>
        <w:tc>
          <w:tcPr>
            <w:tcW w:w="478" w:type="dxa"/>
          </w:tcPr>
          <w:p w:rsidR="0095067D" w:rsidRPr="009D1208" w:rsidRDefault="00005966" w:rsidP="003F3323">
            <w:pPr>
              <w:spacing w:line="360" w:lineRule="auto"/>
              <w:rPr>
                <w:rFonts w:ascii="Arial" w:hAnsi="Arial" w:cs="Arial"/>
              </w:rPr>
            </w:pPr>
            <w:r w:rsidRPr="009D1208">
              <w:rPr>
                <w:rFonts w:ascii="Arial" w:hAnsi="Arial" w:cs="Arial"/>
              </w:rPr>
              <w:t>3</w:t>
            </w:r>
          </w:p>
        </w:tc>
        <w:tc>
          <w:tcPr>
            <w:tcW w:w="2136" w:type="dxa"/>
          </w:tcPr>
          <w:p w:rsidR="0095067D" w:rsidRPr="009D1208" w:rsidRDefault="0095067D" w:rsidP="003F3323">
            <w:pPr>
              <w:spacing w:line="360" w:lineRule="auto"/>
              <w:rPr>
                <w:rFonts w:ascii="Arial" w:hAnsi="Arial" w:cs="Arial"/>
              </w:rPr>
            </w:pPr>
            <w:r w:rsidRPr="009D1208">
              <w:rPr>
                <w:rFonts w:ascii="Arial" w:hAnsi="Arial" w:cs="Arial"/>
              </w:rPr>
              <w:t>Estivas</w:t>
            </w:r>
          </w:p>
        </w:tc>
        <w:tc>
          <w:tcPr>
            <w:tcW w:w="2320" w:type="dxa"/>
          </w:tcPr>
          <w:p w:rsidR="0095067D" w:rsidRPr="009D1208" w:rsidRDefault="0095067D" w:rsidP="003F3323">
            <w:pPr>
              <w:spacing w:line="360" w:lineRule="auto"/>
              <w:rPr>
                <w:rFonts w:ascii="Arial" w:hAnsi="Arial" w:cs="Arial"/>
              </w:rPr>
            </w:pPr>
            <w:r w:rsidRPr="009D1208">
              <w:rPr>
                <w:rFonts w:ascii="Arial" w:hAnsi="Arial" w:cs="Arial"/>
              </w:rPr>
              <w:t>Garanhuns</w:t>
            </w:r>
          </w:p>
        </w:tc>
        <w:tc>
          <w:tcPr>
            <w:tcW w:w="4672" w:type="dxa"/>
          </w:tcPr>
          <w:p w:rsidR="0095067D" w:rsidRPr="009D1208" w:rsidRDefault="0037012C" w:rsidP="001A3AA1">
            <w:pPr>
              <w:spacing w:line="360" w:lineRule="auto"/>
              <w:jc w:val="both"/>
              <w:rPr>
                <w:rFonts w:ascii="Arial" w:hAnsi="Arial" w:cs="Arial"/>
              </w:rPr>
            </w:pPr>
            <w:r w:rsidRPr="009D1208">
              <w:rPr>
                <w:rFonts w:ascii="Arial" w:hAnsi="Arial" w:cs="Arial"/>
              </w:rPr>
              <w:t>Já foi realizado o Relatório antropológico. Deve ser iniciado o levantamento fundiário.</w:t>
            </w:r>
          </w:p>
        </w:tc>
      </w:tr>
      <w:tr w:rsidR="0095067D" w:rsidRPr="00851CCB" w:rsidTr="005E3B25">
        <w:trPr>
          <w:jc w:val="center"/>
        </w:trPr>
        <w:tc>
          <w:tcPr>
            <w:tcW w:w="478" w:type="dxa"/>
          </w:tcPr>
          <w:p w:rsidR="0095067D" w:rsidRPr="009D1208" w:rsidRDefault="00005966" w:rsidP="003F3323">
            <w:pPr>
              <w:spacing w:line="360" w:lineRule="auto"/>
              <w:rPr>
                <w:rFonts w:ascii="Arial" w:hAnsi="Arial" w:cs="Arial"/>
              </w:rPr>
            </w:pPr>
            <w:r w:rsidRPr="009D1208">
              <w:rPr>
                <w:rFonts w:ascii="Arial" w:hAnsi="Arial" w:cs="Arial"/>
              </w:rPr>
              <w:t>4</w:t>
            </w:r>
          </w:p>
        </w:tc>
        <w:tc>
          <w:tcPr>
            <w:tcW w:w="2136" w:type="dxa"/>
          </w:tcPr>
          <w:p w:rsidR="0095067D" w:rsidRPr="009D1208" w:rsidRDefault="0095067D" w:rsidP="003F3323">
            <w:pPr>
              <w:spacing w:line="360" w:lineRule="auto"/>
              <w:rPr>
                <w:rFonts w:ascii="Arial" w:hAnsi="Arial" w:cs="Arial"/>
              </w:rPr>
            </w:pPr>
            <w:r w:rsidRPr="009D1208">
              <w:rPr>
                <w:rFonts w:ascii="Arial" w:hAnsi="Arial" w:cs="Arial"/>
              </w:rPr>
              <w:t>Estrela</w:t>
            </w:r>
          </w:p>
        </w:tc>
        <w:tc>
          <w:tcPr>
            <w:tcW w:w="2320" w:type="dxa"/>
          </w:tcPr>
          <w:p w:rsidR="0095067D" w:rsidRPr="009D1208" w:rsidRDefault="0095067D" w:rsidP="003F3323">
            <w:pPr>
              <w:spacing w:line="360" w:lineRule="auto"/>
              <w:rPr>
                <w:rFonts w:ascii="Arial" w:hAnsi="Arial" w:cs="Arial"/>
              </w:rPr>
            </w:pPr>
            <w:r w:rsidRPr="009D1208">
              <w:rPr>
                <w:rFonts w:ascii="Arial" w:hAnsi="Arial" w:cs="Arial"/>
              </w:rPr>
              <w:t>Garanhuns</w:t>
            </w:r>
          </w:p>
        </w:tc>
        <w:tc>
          <w:tcPr>
            <w:tcW w:w="4672" w:type="dxa"/>
          </w:tcPr>
          <w:p w:rsidR="0095067D" w:rsidRPr="009D1208" w:rsidRDefault="0037012C" w:rsidP="001A3AA1">
            <w:pPr>
              <w:spacing w:line="360" w:lineRule="auto"/>
              <w:jc w:val="both"/>
              <w:rPr>
                <w:rFonts w:ascii="Arial" w:hAnsi="Arial" w:cs="Arial"/>
              </w:rPr>
            </w:pPr>
            <w:r w:rsidRPr="009D1208">
              <w:rPr>
                <w:rFonts w:ascii="Arial" w:hAnsi="Arial" w:cs="Arial"/>
              </w:rPr>
              <w:t>Já foi realizado o Relatório antropológico. Deve ser iniciado o levantamento fundiário.</w:t>
            </w:r>
          </w:p>
        </w:tc>
      </w:tr>
      <w:tr w:rsidR="0095067D" w:rsidRPr="00851CCB" w:rsidTr="005E3B25">
        <w:trPr>
          <w:jc w:val="center"/>
        </w:trPr>
        <w:tc>
          <w:tcPr>
            <w:tcW w:w="478" w:type="dxa"/>
          </w:tcPr>
          <w:p w:rsidR="0095067D" w:rsidRPr="009D1208" w:rsidRDefault="00005966" w:rsidP="003F3323">
            <w:pPr>
              <w:spacing w:line="360" w:lineRule="auto"/>
              <w:rPr>
                <w:rFonts w:ascii="Arial" w:hAnsi="Arial" w:cs="Arial"/>
              </w:rPr>
            </w:pPr>
            <w:r w:rsidRPr="009D1208">
              <w:rPr>
                <w:rFonts w:ascii="Arial" w:hAnsi="Arial" w:cs="Arial"/>
              </w:rPr>
              <w:t>5</w:t>
            </w:r>
          </w:p>
        </w:tc>
        <w:tc>
          <w:tcPr>
            <w:tcW w:w="2136" w:type="dxa"/>
          </w:tcPr>
          <w:p w:rsidR="0095067D" w:rsidRPr="009D1208" w:rsidRDefault="0095067D" w:rsidP="003F3323">
            <w:pPr>
              <w:spacing w:line="360" w:lineRule="auto"/>
              <w:rPr>
                <w:rFonts w:ascii="Arial" w:hAnsi="Arial" w:cs="Arial"/>
              </w:rPr>
            </w:pPr>
            <w:r w:rsidRPr="009D1208">
              <w:rPr>
                <w:rFonts w:ascii="Arial" w:hAnsi="Arial" w:cs="Arial"/>
              </w:rPr>
              <w:t>Negros do Osso</w:t>
            </w:r>
          </w:p>
        </w:tc>
        <w:tc>
          <w:tcPr>
            <w:tcW w:w="2320" w:type="dxa"/>
          </w:tcPr>
          <w:p w:rsidR="0095067D" w:rsidRPr="009D1208" w:rsidRDefault="0095067D" w:rsidP="003F3323">
            <w:pPr>
              <w:spacing w:line="360" w:lineRule="auto"/>
              <w:rPr>
                <w:rFonts w:ascii="Arial" w:hAnsi="Arial" w:cs="Arial"/>
              </w:rPr>
            </w:pPr>
            <w:r w:rsidRPr="009D1208">
              <w:rPr>
                <w:rFonts w:ascii="Arial" w:hAnsi="Arial" w:cs="Arial"/>
              </w:rPr>
              <w:t>Pesqueira</w:t>
            </w:r>
          </w:p>
        </w:tc>
        <w:tc>
          <w:tcPr>
            <w:tcW w:w="4672" w:type="dxa"/>
          </w:tcPr>
          <w:p w:rsidR="0095067D" w:rsidRPr="009D1208" w:rsidRDefault="0037012C" w:rsidP="001A3AA1">
            <w:pPr>
              <w:spacing w:line="360" w:lineRule="auto"/>
              <w:jc w:val="both"/>
              <w:rPr>
                <w:rFonts w:ascii="Arial" w:hAnsi="Arial" w:cs="Arial"/>
              </w:rPr>
            </w:pPr>
            <w:r w:rsidRPr="009D1208">
              <w:rPr>
                <w:rFonts w:ascii="Arial" w:hAnsi="Arial" w:cs="Arial"/>
              </w:rPr>
              <w:t>Em fase de notificação dos proprietários de imóveis inseridos no território reivindicado</w:t>
            </w:r>
            <w:r w:rsidR="005E3B25" w:rsidRPr="009D1208">
              <w:rPr>
                <w:rFonts w:ascii="Arial" w:hAnsi="Arial" w:cs="Arial"/>
              </w:rPr>
              <w:t>. No 1º semestre de 2016 deve ser iniciado o cadastramento</w:t>
            </w:r>
            <w:r w:rsidR="00F91976" w:rsidRPr="009D1208">
              <w:rPr>
                <w:rFonts w:ascii="Arial" w:hAnsi="Arial" w:cs="Arial"/>
              </w:rPr>
              <w:t xml:space="preserve"> </w:t>
            </w:r>
            <w:r w:rsidR="005E3B25" w:rsidRPr="009D1208">
              <w:rPr>
                <w:rFonts w:ascii="Arial" w:hAnsi="Arial" w:cs="Arial"/>
              </w:rPr>
              <w:t xml:space="preserve">dos integrantes da comunidade. </w:t>
            </w:r>
          </w:p>
        </w:tc>
      </w:tr>
      <w:tr w:rsidR="009330AA" w:rsidRPr="00851CCB" w:rsidTr="005E3B25">
        <w:trPr>
          <w:jc w:val="center"/>
        </w:trPr>
        <w:tc>
          <w:tcPr>
            <w:tcW w:w="478" w:type="dxa"/>
          </w:tcPr>
          <w:p w:rsidR="009330AA" w:rsidRPr="009D1208" w:rsidRDefault="00005966" w:rsidP="003F3323">
            <w:pPr>
              <w:spacing w:line="360" w:lineRule="auto"/>
              <w:rPr>
                <w:rFonts w:ascii="Arial" w:hAnsi="Arial" w:cs="Arial"/>
              </w:rPr>
            </w:pPr>
            <w:r w:rsidRPr="009D1208">
              <w:rPr>
                <w:rFonts w:ascii="Arial" w:hAnsi="Arial" w:cs="Arial"/>
              </w:rPr>
              <w:t>6</w:t>
            </w:r>
          </w:p>
        </w:tc>
        <w:tc>
          <w:tcPr>
            <w:tcW w:w="2136" w:type="dxa"/>
          </w:tcPr>
          <w:p w:rsidR="009330AA" w:rsidRPr="009D1208" w:rsidRDefault="009330AA" w:rsidP="003F3323">
            <w:pPr>
              <w:spacing w:line="360" w:lineRule="auto"/>
              <w:rPr>
                <w:rFonts w:ascii="Arial" w:hAnsi="Arial" w:cs="Arial"/>
              </w:rPr>
            </w:pPr>
            <w:r w:rsidRPr="009D1208">
              <w:rPr>
                <w:rFonts w:ascii="Arial" w:hAnsi="Arial" w:cs="Arial"/>
              </w:rPr>
              <w:t>Castainho</w:t>
            </w:r>
          </w:p>
        </w:tc>
        <w:tc>
          <w:tcPr>
            <w:tcW w:w="2320" w:type="dxa"/>
          </w:tcPr>
          <w:p w:rsidR="009330AA" w:rsidRPr="009D1208" w:rsidRDefault="0091473F" w:rsidP="003F3323">
            <w:pPr>
              <w:spacing w:line="360" w:lineRule="auto"/>
              <w:rPr>
                <w:rFonts w:ascii="Arial" w:hAnsi="Arial" w:cs="Arial"/>
              </w:rPr>
            </w:pPr>
            <w:r w:rsidRPr="009D1208">
              <w:rPr>
                <w:rFonts w:ascii="Arial" w:hAnsi="Arial" w:cs="Arial"/>
              </w:rPr>
              <w:t>Garanhuns</w:t>
            </w:r>
          </w:p>
        </w:tc>
        <w:tc>
          <w:tcPr>
            <w:tcW w:w="4672" w:type="dxa"/>
          </w:tcPr>
          <w:p w:rsidR="009330AA" w:rsidRDefault="0091473F" w:rsidP="00AA0B00">
            <w:pPr>
              <w:spacing w:line="360" w:lineRule="auto"/>
              <w:jc w:val="both"/>
              <w:rPr>
                <w:rFonts w:ascii="Arial" w:hAnsi="Arial" w:cs="Arial"/>
              </w:rPr>
            </w:pPr>
            <w:r w:rsidRPr="009D1208">
              <w:rPr>
                <w:rFonts w:ascii="Arial" w:hAnsi="Arial" w:cs="Arial"/>
              </w:rPr>
              <w:t>Já está em etapa final do processo. O Iterpe</w:t>
            </w:r>
            <w:r w:rsidR="00AA0B00" w:rsidRPr="009D1208">
              <w:rPr>
                <w:rFonts w:ascii="Arial" w:hAnsi="Arial" w:cs="Arial"/>
              </w:rPr>
              <w:t xml:space="preserve"> encaminhou ofício nº 852/2015 a Procuradoria Geral do Estado, Solicitando propositura de Ação Judicial para cancelamento de matrícula sobreposta à área registrada em nome do Estado de Pernambuco.</w:t>
            </w:r>
            <w:r w:rsidR="00115465">
              <w:rPr>
                <w:rFonts w:ascii="Arial" w:hAnsi="Arial" w:cs="Arial"/>
              </w:rPr>
              <w:t xml:space="preserve"> Foi realizada audiência Pública com a presença do INCRA, ITERPE, Procuradoria Geral do Estado de Pernambuco, Ministério Público Federal e comunidade Quilombola para Ajuste de Conduta. Est</w:t>
            </w:r>
            <w:r w:rsidR="0025383B">
              <w:rPr>
                <w:rFonts w:ascii="Arial" w:hAnsi="Arial" w:cs="Arial"/>
              </w:rPr>
              <w:t xml:space="preserve">amos aguardando homologação do </w:t>
            </w:r>
            <w:r w:rsidR="00115465">
              <w:rPr>
                <w:rFonts w:ascii="Arial" w:hAnsi="Arial" w:cs="Arial"/>
              </w:rPr>
              <w:t xml:space="preserve">TAC pela Justiça Federal. </w:t>
            </w:r>
          </w:p>
          <w:p w:rsidR="0025383B" w:rsidRPr="009D1208" w:rsidRDefault="0025383B" w:rsidP="0025383B">
            <w:pPr>
              <w:spacing w:line="360" w:lineRule="auto"/>
              <w:jc w:val="both"/>
              <w:rPr>
                <w:rFonts w:ascii="Arial" w:hAnsi="Arial" w:cs="Arial"/>
              </w:rPr>
            </w:pPr>
            <w:r>
              <w:rPr>
                <w:rFonts w:ascii="Arial" w:hAnsi="Arial" w:cs="Arial"/>
              </w:rPr>
              <w:t xml:space="preserve">Em Outubro de 2020 a </w:t>
            </w:r>
            <w:r w:rsidRPr="0025383B">
              <w:rPr>
                <w:rFonts w:ascii="Arial" w:hAnsi="Arial" w:cs="Arial"/>
              </w:rPr>
              <w:t xml:space="preserve">Associação da </w:t>
            </w:r>
            <w:r w:rsidRPr="0025383B">
              <w:rPr>
                <w:rFonts w:ascii="Arial" w:hAnsi="Arial" w:cs="Arial"/>
              </w:rPr>
              <w:lastRenderedPageBreak/>
              <w:t>Comunidade Quilombola Castainho, CNPJ: 35.451.285/0</w:t>
            </w:r>
            <w:r>
              <w:rPr>
                <w:rFonts w:ascii="Arial" w:hAnsi="Arial" w:cs="Arial"/>
              </w:rPr>
              <w:t xml:space="preserve">001-61, localizada em Garanhuns, recebeu o </w:t>
            </w:r>
            <w:r w:rsidRPr="0025383B">
              <w:rPr>
                <w:rFonts w:ascii="Arial" w:hAnsi="Arial" w:cs="Arial"/>
              </w:rPr>
              <w:t>Título</w:t>
            </w:r>
            <w:r>
              <w:rPr>
                <w:rFonts w:ascii="Arial" w:hAnsi="Arial" w:cs="Arial"/>
              </w:rPr>
              <w:t xml:space="preserve"> de Domínio</w:t>
            </w:r>
            <w:r w:rsidRPr="0025383B">
              <w:rPr>
                <w:rFonts w:ascii="Arial" w:hAnsi="Arial" w:cs="Arial"/>
              </w:rPr>
              <w:t xml:space="preserve"> nº PE032.2020.020283-1</w:t>
            </w:r>
            <w:r>
              <w:rPr>
                <w:rFonts w:ascii="Arial" w:hAnsi="Arial" w:cs="Arial"/>
              </w:rPr>
              <w:t xml:space="preserve"> da área de 64,8040 hectares, u</w:t>
            </w:r>
            <w:r w:rsidRPr="0025383B">
              <w:rPr>
                <w:rFonts w:ascii="Arial" w:hAnsi="Arial" w:cs="Arial"/>
              </w:rPr>
              <w:t>ma conquista história, pois é o primeiro título de domínio coletivo emitido pelo Iterpe para Comunidade Quilombola em Pernambuco.</w:t>
            </w:r>
          </w:p>
        </w:tc>
      </w:tr>
      <w:tr w:rsidR="009330AA" w:rsidRPr="00851CCB" w:rsidTr="005E3B25">
        <w:trPr>
          <w:jc w:val="center"/>
        </w:trPr>
        <w:tc>
          <w:tcPr>
            <w:tcW w:w="478" w:type="dxa"/>
          </w:tcPr>
          <w:p w:rsidR="009330AA" w:rsidRPr="009D1208" w:rsidRDefault="00005966" w:rsidP="003F3323">
            <w:pPr>
              <w:spacing w:line="360" w:lineRule="auto"/>
              <w:rPr>
                <w:rFonts w:ascii="Arial" w:hAnsi="Arial" w:cs="Arial"/>
              </w:rPr>
            </w:pPr>
            <w:r w:rsidRPr="009D1208">
              <w:rPr>
                <w:rFonts w:ascii="Arial" w:hAnsi="Arial" w:cs="Arial"/>
              </w:rPr>
              <w:lastRenderedPageBreak/>
              <w:t>7</w:t>
            </w:r>
          </w:p>
        </w:tc>
        <w:tc>
          <w:tcPr>
            <w:tcW w:w="2136" w:type="dxa"/>
          </w:tcPr>
          <w:p w:rsidR="009330AA" w:rsidRPr="009D1208" w:rsidRDefault="009330AA" w:rsidP="003F3323">
            <w:pPr>
              <w:spacing w:line="360" w:lineRule="auto"/>
              <w:rPr>
                <w:rFonts w:ascii="Arial" w:hAnsi="Arial" w:cs="Arial"/>
              </w:rPr>
            </w:pPr>
            <w:r w:rsidRPr="009D1208">
              <w:rPr>
                <w:rFonts w:ascii="Arial" w:hAnsi="Arial" w:cs="Arial"/>
              </w:rPr>
              <w:t>Timbó</w:t>
            </w:r>
          </w:p>
        </w:tc>
        <w:tc>
          <w:tcPr>
            <w:tcW w:w="2320" w:type="dxa"/>
          </w:tcPr>
          <w:p w:rsidR="009330AA" w:rsidRPr="009D1208" w:rsidRDefault="0091473F" w:rsidP="003F3323">
            <w:pPr>
              <w:spacing w:line="360" w:lineRule="auto"/>
              <w:rPr>
                <w:rFonts w:ascii="Arial" w:hAnsi="Arial" w:cs="Arial"/>
              </w:rPr>
            </w:pPr>
            <w:r w:rsidRPr="009D1208">
              <w:rPr>
                <w:rFonts w:ascii="Arial" w:hAnsi="Arial" w:cs="Arial"/>
              </w:rPr>
              <w:t>Garanhuns</w:t>
            </w:r>
          </w:p>
        </w:tc>
        <w:tc>
          <w:tcPr>
            <w:tcW w:w="4672" w:type="dxa"/>
          </w:tcPr>
          <w:p w:rsidR="009330AA" w:rsidRPr="009D1208" w:rsidRDefault="0091473F" w:rsidP="00AA0B00">
            <w:pPr>
              <w:spacing w:line="360" w:lineRule="auto"/>
              <w:jc w:val="both"/>
              <w:rPr>
                <w:rFonts w:ascii="Arial" w:hAnsi="Arial" w:cs="Arial"/>
              </w:rPr>
            </w:pPr>
            <w:r w:rsidRPr="009D1208">
              <w:rPr>
                <w:rFonts w:ascii="Arial" w:hAnsi="Arial" w:cs="Arial"/>
              </w:rPr>
              <w:t>Já está em etapa final do processo. Falta regularizar os lotes que são</w:t>
            </w:r>
            <w:r w:rsidR="00AA0B00" w:rsidRPr="009D1208">
              <w:rPr>
                <w:rFonts w:ascii="Arial" w:hAnsi="Arial" w:cs="Arial"/>
              </w:rPr>
              <w:t xml:space="preserve"> </w:t>
            </w:r>
            <w:r w:rsidRPr="009D1208">
              <w:rPr>
                <w:rFonts w:ascii="Arial" w:hAnsi="Arial" w:cs="Arial"/>
              </w:rPr>
              <w:t xml:space="preserve"> propriedade do Estado de Pernambuco (posseiros quilombolas) e os lotes do Estado em posse de não quilombolas.</w:t>
            </w:r>
          </w:p>
        </w:tc>
      </w:tr>
      <w:tr w:rsidR="00DE7A0E" w:rsidRPr="00851CCB" w:rsidTr="005E3B25">
        <w:trPr>
          <w:jc w:val="center"/>
        </w:trPr>
        <w:tc>
          <w:tcPr>
            <w:tcW w:w="478" w:type="dxa"/>
          </w:tcPr>
          <w:p w:rsidR="00DE7A0E" w:rsidRPr="009D1208" w:rsidRDefault="00DE7A0E" w:rsidP="003F3323">
            <w:pPr>
              <w:spacing w:line="360" w:lineRule="auto"/>
              <w:rPr>
                <w:rFonts w:ascii="Arial" w:hAnsi="Arial" w:cs="Arial"/>
              </w:rPr>
            </w:pPr>
            <w:r w:rsidRPr="009D1208">
              <w:rPr>
                <w:rFonts w:ascii="Arial" w:hAnsi="Arial" w:cs="Arial"/>
              </w:rPr>
              <w:t>8</w:t>
            </w:r>
          </w:p>
        </w:tc>
        <w:tc>
          <w:tcPr>
            <w:tcW w:w="2136" w:type="dxa"/>
          </w:tcPr>
          <w:p w:rsidR="00DE7A0E" w:rsidRPr="009D1208" w:rsidRDefault="00DE7A0E" w:rsidP="003F3323">
            <w:pPr>
              <w:spacing w:line="360" w:lineRule="auto"/>
              <w:rPr>
                <w:rFonts w:ascii="Arial" w:hAnsi="Arial" w:cs="Arial"/>
              </w:rPr>
            </w:pPr>
            <w:r w:rsidRPr="009D1208">
              <w:rPr>
                <w:rFonts w:ascii="Arial" w:hAnsi="Arial" w:cs="Arial"/>
              </w:rPr>
              <w:t>Varzinha dos Quilombolas</w:t>
            </w:r>
          </w:p>
        </w:tc>
        <w:tc>
          <w:tcPr>
            <w:tcW w:w="2320" w:type="dxa"/>
          </w:tcPr>
          <w:p w:rsidR="00DE7A0E" w:rsidRPr="009D1208" w:rsidRDefault="006A027A" w:rsidP="003F3323">
            <w:pPr>
              <w:spacing w:line="360" w:lineRule="auto"/>
              <w:rPr>
                <w:rFonts w:ascii="Arial" w:hAnsi="Arial" w:cs="Arial"/>
              </w:rPr>
            </w:pPr>
            <w:r w:rsidRPr="009D1208">
              <w:rPr>
                <w:rFonts w:ascii="Arial" w:hAnsi="Arial" w:cs="Arial"/>
              </w:rPr>
              <w:t>Iguaracy</w:t>
            </w:r>
          </w:p>
        </w:tc>
        <w:tc>
          <w:tcPr>
            <w:tcW w:w="4672" w:type="dxa"/>
          </w:tcPr>
          <w:p w:rsidR="00DE7A0E" w:rsidRPr="009D1208" w:rsidRDefault="006650C4" w:rsidP="003F3323">
            <w:pPr>
              <w:spacing w:line="360" w:lineRule="auto"/>
              <w:rPr>
                <w:rFonts w:ascii="Arial" w:hAnsi="Arial" w:cs="Arial"/>
              </w:rPr>
            </w:pPr>
            <w:r w:rsidRPr="009D1208">
              <w:rPr>
                <w:rFonts w:ascii="Arial" w:hAnsi="Arial" w:cs="Arial"/>
              </w:rPr>
              <w:t>Em fase de elaboração do relatório antropológico e execução do levantamento fundiário.</w:t>
            </w:r>
          </w:p>
        </w:tc>
      </w:tr>
    </w:tbl>
    <w:p w:rsidR="00851CCB" w:rsidRDefault="00851CCB" w:rsidP="007A09EA">
      <w:pPr>
        <w:rPr>
          <w:rFonts w:ascii="Arial" w:hAnsi="Arial" w:cs="Arial"/>
          <w:b/>
          <w:smallCaps/>
          <w:sz w:val="24"/>
          <w:szCs w:val="24"/>
        </w:rPr>
      </w:pPr>
    </w:p>
    <w:p w:rsidR="00343B67" w:rsidRPr="00851CCB" w:rsidRDefault="00851CCB" w:rsidP="009D1208">
      <w:pPr>
        <w:pStyle w:val="Ttulo8"/>
        <w:rPr>
          <w:b w:val="0"/>
        </w:rPr>
      </w:pPr>
      <w:r>
        <w:rPr>
          <w:b w:val="0"/>
        </w:rPr>
        <w:t xml:space="preserve">        </w:t>
      </w:r>
    </w:p>
    <w:p w:rsidR="00343B67" w:rsidRPr="00851CCB" w:rsidRDefault="0025383B" w:rsidP="00343B67">
      <w:pPr>
        <w:spacing w:line="240" w:lineRule="auto"/>
        <w:jc w:val="center"/>
        <w:rPr>
          <w:rFonts w:ascii="Arial" w:hAnsi="Arial" w:cs="Arial"/>
          <w:sz w:val="24"/>
          <w:szCs w:val="24"/>
        </w:rPr>
      </w:pPr>
      <w:r>
        <w:rPr>
          <w:rFonts w:ascii="Arial" w:hAnsi="Arial" w:cs="Arial"/>
          <w:sz w:val="24"/>
          <w:szCs w:val="24"/>
        </w:rPr>
        <w:t>Recife, 13</w:t>
      </w:r>
      <w:r w:rsidR="007E1FC1">
        <w:rPr>
          <w:rFonts w:ascii="Arial" w:hAnsi="Arial" w:cs="Arial"/>
          <w:sz w:val="24"/>
          <w:szCs w:val="24"/>
        </w:rPr>
        <w:t xml:space="preserve"> de </w:t>
      </w:r>
      <w:r>
        <w:rPr>
          <w:rFonts w:ascii="Arial" w:hAnsi="Arial" w:cs="Arial"/>
          <w:sz w:val="24"/>
          <w:szCs w:val="24"/>
        </w:rPr>
        <w:t>novembro</w:t>
      </w:r>
      <w:r w:rsidR="007E1FC1">
        <w:rPr>
          <w:rFonts w:ascii="Arial" w:hAnsi="Arial" w:cs="Arial"/>
          <w:sz w:val="24"/>
          <w:szCs w:val="24"/>
        </w:rPr>
        <w:t xml:space="preserve"> de 20</w:t>
      </w:r>
      <w:r>
        <w:rPr>
          <w:rFonts w:ascii="Arial" w:hAnsi="Arial" w:cs="Arial"/>
          <w:sz w:val="24"/>
          <w:szCs w:val="24"/>
        </w:rPr>
        <w:t>20</w:t>
      </w:r>
      <w:r w:rsidR="00343B67" w:rsidRPr="00851CCB">
        <w:rPr>
          <w:rFonts w:ascii="Arial" w:hAnsi="Arial" w:cs="Arial"/>
          <w:sz w:val="24"/>
          <w:szCs w:val="24"/>
        </w:rPr>
        <w:t xml:space="preserve">                                        </w:t>
      </w:r>
    </w:p>
    <w:p w:rsidR="00343B67" w:rsidRPr="00851CCB" w:rsidRDefault="00343B67" w:rsidP="00343B67">
      <w:pPr>
        <w:spacing w:line="240" w:lineRule="auto"/>
        <w:jc w:val="center"/>
        <w:rPr>
          <w:rFonts w:ascii="Arial" w:hAnsi="Arial" w:cs="Arial"/>
          <w:sz w:val="24"/>
          <w:szCs w:val="24"/>
        </w:rPr>
      </w:pPr>
      <w:r w:rsidRPr="00851CCB">
        <w:rPr>
          <w:rFonts w:ascii="Arial" w:hAnsi="Arial" w:cs="Arial"/>
          <w:sz w:val="24"/>
          <w:szCs w:val="24"/>
        </w:rPr>
        <w:t xml:space="preserve">                                                            </w:t>
      </w:r>
    </w:p>
    <w:p w:rsidR="00726E2B" w:rsidRPr="00851CCB" w:rsidRDefault="00726E2B" w:rsidP="00726E2B">
      <w:pPr>
        <w:rPr>
          <w:rFonts w:ascii="Arial" w:hAnsi="Arial" w:cs="Arial"/>
          <w:sz w:val="24"/>
          <w:szCs w:val="24"/>
        </w:rPr>
      </w:pPr>
    </w:p>
    <w:p w:rsidR="00726E2B" w:rsidRPr="00851CCB" w:rsidRDefault="00726E2B" w:rsidP="00726E2B">
      <w:pPr>
        <w:rPr>
          <w:rFonts w:ascii="Arial" w:hAnsi="Arial" w:cs="Arial"/>
          <w:sz w:val="24"/>
          <w:szCs w:val="24"/>
        </w:rPr>
      </w:pPr>
      <w:r w:rsidRPr="00851CCB">
        <w:rPr>
          <w:rFonts w:ascii="Arial" w:hAnsi="Arial" w:cs="Arial"/>
          <w:sz w:val="24"/>
          <w:szCs w:val="24"/>
        </w:rPr>
        <w:t xml:space="preserve">                                 </w:t>
      </w:r>
    </w:p>
    <w:sectPr w:rsidR="00726E2B" w:rsidRPr="00851CCB" w:rsidSect="00726E2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29" w:rsidRDefault="00EC5029" w:rsidP="0093510B">
      <w:pPr>
        <w:spacing w:after="0" w:line="240" w:lineRule="auto"/>
      </w:pPr>
      <w:r>
        <w:separator/>
      </w:r>
    </w:p>
  </w:endnote>
  <w:endnote w:type="continuationSeparator" w:id="1">
    <w:p w:rsidR="00EC5029" w:rsidRDefault="00EC5029" w:rsidP="00935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8362"/>
      <w:docPartObj>
        <w:docPartGallery w:val="Page Numbers (Bottom of Page)"/>
        <w:docPartUnique/>
      </w:docPartObj>
    </w:sdtPr>
    <w:sdtContent>
      <w:p w:rsidR="00CE4C5B" w:rsidRDefault="00E478B9">
        <w:pPr>
          <w:pStyle w:val="Rodap"/>
          <w:jc w:val="right"/>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5603" type="#_x0000_t75" style="position:absolute;left:0;text-align:left;margin-left:-77.1pt;margin-top:-7.45pt;width:580.2pt;height:68.2pt;z-index:-251658240;visibility:visible;mso-position-horizontal-relative:text;mso-position-vertical-relative:text">
              <v:imagedata r:id="rId1" o:title="novo-novo-timbrado-vinculada" croptop="60075f"/>
            </v:shape>
          </w:pict>
        </w:r>
        <w:r>
          <w:fldChar w:fldCharType="begin"/>
        </w:r>
        <w:r w:rsidR="001355A4">
          <w:instrText xml:space="preserve"> PAGE   \* MERGEFORMAT </w:instrText>
        </w:r>
        <w:r>
          <w:fldChar w:fldCharType="separate"/>
        </w:r>
        <w:r w:rsidR="005E7849">
          <w:rPr>
            <w:noProof/>
          </w:rPr>
          <w:t>1</w:t>
        </w:r>
        <w:r>
          <w:rPr>
            <w:noProof/>
          </w:rPr>
          <w:fldChar w:fldCharType="end"/>
        </w:r>
        <w:r w:rsidR="00734EFE">
          <w:rPr>
            <w:noProof/>
          </w:rPr>
          <w:t>/7</w:t>
        </w:r>
      </w:p>
    </w:sdtContent>
  </w:sdt>
  <w:p w:rsidR="00CE4C5B" w:rsidRDefault="00CE4C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29" w:rsidRDefault="00EC5029" w:rsidP="0093510B">
      <w:pPr>
        <w:spacing w:after="0" w:line="240" w:lineRule="auto"/>
      </w:pPr>
      <w:r>
        <w:separator/>
      </w:r>
    </w:p>
  </w:footnote>
  <w:footnote w:type="continuationSeparator" w:id="1">
    <w:p w:rsidR="00EC5029" w:rsidRDefault="00EC5029" w:rsidP="009351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5B" w:rsidRDefault="00734EFE">
    <w:pPr>
      <w:pStyle w:val="Cabealho"/>
    </w:pPr>
    <w:r>
      <w:rPr>
        <w:noProof/>
        <w:lang w:eastAsia="pt-BR"/>
      </w:rPr>
      <w:drawing>
        <wp:anchor distT="0" distB="0" distL="114300" distR="114300" simplePos="0" relativeHeight="251657216" behindDoc="1" locked="0" layoutInCell="1" allowOverlap="1">
          <wp:simplePos x="0" y="0"/>
          <wp:positionH relativeFrom="column">
            <wp:posOffset>443865</wp:posOffset>
          </wp:positionH>
          <wp:positionV relativeFrom="paragraph">
            <wp:posOffset>-240030</wp:posOffset>
          </wp:positionV>
          <wp:extent cx="4476750" cy="695325"/>
          <wp:effectExtent l="19050" t="0" r="0" b="0"/>
          <wp:wrapNone/>
          <wp:docPr id="4" name="Imagem 1" descr="C:\Users\hugo.aquino\Downloads\novo-novo-timbrado-vincul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hugo.aquino\Downloads\novo-novo-timbrado-vinculada.png"/>
                  <pic:cNvPicPr>
                    <a:picLocks noChangeAspect="1" noChangeArrowheads="1"/>
                  </pic:cNvPicPr>
                </pic:nvPicPr>
                <pic:blipFill>
                  <a:blip r:embed="rId1"/>
                  <a:srcRect l="19922" t="3114" r="19276" b="90292"/>
                  <a:stretch>
                    <a:fillRect/>
                  </a:stretch>
                </pic:blipFill>
                <pic:spPr bwMode="auto">
                  <a:xfrm>
                    <a:off x="0" y="0"/>
                    <a:ext cx="4476750" cy="695325"/>
                  </a:xfrm>
                  <a:prstGeom prst="rect">
                    <a:avLst/>
                  </a:prstGeom>
                  <a:noFill/>
                  <a:ln w="9525">
                    <a:noFill/>
                    <a:miter lim="800000"/>
                    <a:headEnd/>
                    <a:tailEnd/>
                  </a:ln>
                </pic:spPr>
              </pic:pic>
            </a:graphicData>
          </a:graphic>
        </wp:anchor>
      </w:drawing>
    </w:r>
  </w:p>
  <w:p w:rsidR="0093510B" w:rsidRDefault="0093510B" w:rsidP="00EA12D4">
    <w:pPr>
      <w:pStyle w:val="Cabealho"/>
      <w:tabs>
        <w:tab w:val="clear" w:pos="8504"/>
        <w:tab w:val="left" w:pos="9498"/>
        <w:tab w:val="right" w:pos="9923"/>
      </w:tabs>
      <w:ind w:right="-85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1709E"/>
    <w:multiLevelType w:val="hybridMultilevel"/>
    <w:tmpl w:val="6AD2782C"/>
    <w:lvl w:ilvl="0" w:tplc="DEB41C5C">
      <w:start w:val="1992"/>
      <w:numFmt w:val="bullet"/>
      <w:lvlText w:val=""/>
      <w:lvlJc w:val="left"/>
      <w:pPr>
        <w:ind w:left="720" w:hanging="360"/>
      </w:pPr>
      <w:rPr>
        <w:rFonts w:ascii="Symbol" w:eastAsia="Times New Roman" w:hAnsi="Symbol" w:cs="Arial" w:hint="default"/>
        <w:b/>
        <w:sz w:val="24"/>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F6A3142"/>
    <w:multiLevelType w:val="hybridMultilevel"/>
    <w:tmpl w:val="01E404E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nsid w:val="32B91F17"/>
    <w:multiLevelType w:val="hybridMultilevel"/>
    <w:tmpl w:val="F80470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1E746C8"/>
    <w:multiLevelType w:val="hybridMultilevel"/>
    <w:tmpl w:val="4B6CDE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6F7E91"/>
    <w:multiLevelType w:val="hybridMultilevel"/>
    <w:tmpl w:val="61E89812"/>
    <w:lvl w:ilvl="0" w:tplc="E18EAE6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69F3706F"/>
    <w:multiLevelType w:val="hybridMultilevel"/>
    <w:tmpl w:val="E5CC6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E701FCC"/>
    <w:multiLevelType w:val="hybridMultilevel"/>
    <w:tmpl w:val="3240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8674"/>
    <o:shapelayout v:ext="edit">
      <o:idmap v:ext="edit" data="25"/>
    </o:shapelayout>
  </w:hdrShapeDefaults>
  <w:footnotePr>
    <w:footnote w:id="0"/>
    <w:footnote w:id="1"/>
  </w:footnotePr>
  <w:endnotePr>
    <w:endnote w:id="0"/>
    <w:endnote w:id="1"/>
  </w:endnotePr>
  <w:compat/>
  <w:rsids>
    <w:rsidRoot w:val="003F2C43"/>
    <w:rsid w:val="0000365D"/>
    <w:rsid w:val="0000443D"/>
    <w:rsid w:val="00005966"/>
    <w:rsid w:val="00007F87"/>
    <w:rsid w:val="000179EB"/>
    <w:rsid w:val="000304E5"/>
    <w:rsid w:val="000404DA"/>
    <w:rsid w:val="00044AD2"/>
    <w:rsid w:val="00062D8F"/>
    <w:rsid w:val="00080CEA"/>
    <w:rsid w:val="00090DCB"/>
    <w:rsid w:val="00097D69"/>
    <w:rsid w:val="000A46A0"/>
    <w:rsid w:val="000D6168"/>
    <w:rsid w:val="000E4064"/>
    <w:rsid w:val="000E4CD2"/>
    <w:rsid w:val="000F2EB6"/>
    <w:rsid w:val="0010024C"/>
    <w:rsid w:val="00115465"/>
    <w:rsid w:val="00117197"/>
    <w:rsid w:val="00127ED6"/>
    <w:rsid w:val="001339A4"/>
    <w:rsid w:val="001355A4"/>
    <w:rsid w:val="0014115E"/>
    <w:rsid w:val="00147027"/>
    <w:rsid w:val="00165BD1"/>
    <w:rsid w:val="00166285"/>
    <w:rsid w:val="00175F5F"/>
    <w:rsid w:val="001A3AA1"/>
    <w:rsid w:val="001B2584"/>
    <w:rsid w:val="001B7B87"/>
    <w:rsid w:val="001C1479"/>
    <w:rsid w:val="001C749F"/>
    <w:rsid w:val="002038BC"/>
    <w:rsid w:val="002536B0"/>
    <w:rsid w:val="0025383B"/>
    <w:rsid w:val="002913EE"/>
    <w:rsid w:val="002E5AD6"/>
    <w:rsid w:val="002F7273"/>
    <w:rsid w:val="00304B30"/>
    <w:rsid w:val="00310271"/>
    <w:rsid w:val="003162B2"/>
    <w:rsid w:val="003439FF"/>
    <w:rsid w:val="00343B67"/>
    <w:rsid w:val="00343F11"/>
    <w:rsid w:val="003664C1"/>
    <w:rsid w:val="0037012C"/>
    <w:rsid w:val="00371A61"/>
    <w:rsid w:val="00384F48"/>
    <w:rsid w:val="00395009"/>
    <w:rsid w:val="00396A35"/>
    <w:rsid w:val="003C1F93"/>
    <w:rsid w:val="003D291D"/>
    <w:rsid w:val="003E5B17"/>
    <w:rsid w:val="003F2C43"/>
    <w:rsid w:val="003F3323"/>
    <w:rsid w:val="00434D16"/>
    <w:rsid w:val="00455EAB"/>
    <w:rsid w:val="00457917"/>
    <w:rsid w:val="0046659E"/>
    <w:rsid w:val="004710EB"/>
    <w:rsid w:val="004730B9"/>
    <w:rsid w:val="00497352"/>
    <w:rsid w:val="004A07ED"/>
    <w:rsid w:val="004A37E7"/>
    <w:rsid w:val="004B3B5B"/>
    <w:rsid w:val="004D61FE"/>
    <w:rsid w:val="004F5206"/>
    <w:rsid w:val="00501914"/>
    <w:rsid w:val="005061AB"/>
    <w:rsid w:val="00524EEF"/>
    <w:rsid w:val="0053570F"/>
    <w:rsid w:val="00553C15"/>
    <w:rsid w:val="00561B6C"/>
    <w:rsid w:val="00582A44"/>
    <w:rsid w:val="005A6CB4"/>
    <w:rsid w:val="005C18D3"/>
    <w:rsid w:val="005C1ED6"/>
    <w:rsid w:val="005E3B25"/>
    <w:rsid w:val="005E7849"/>
    <w:rsid w:val="006433BA"/>
    <w:rsid w:val="006513EA"/>
    <w:rsid w:val="00660F57"/>
    <w:rsid w:val="006650C4"/>
    <w:rsid w:val="0066545D"/>
    <w:rsid w:val="00674DC8"/>
    <w:rsid w:val="00680F90"/>
    <w:rsid w:val="00686737"/>
    <w:rsid w:val="00690454"/>
    <w:rsid w:val="006A027A"/>
    <w:rsid w:val="007109C2"/>
    <w:rsid w:val="00720884"/>
    <w:rsid w:val="0072484E"/>
    <w:rsid w:val="0072651E"/>
    <w:rsid w:val="00726E2B"/>
    <w:rsid w:val="00733252"/>
    <w:rsid w:val="00734EFE"/>
    <w:rsid w:val="00736DCD"/>
    <w:rsid w:val="00762CD8"/>
    <w:rsid w:val="00787246"/>
    <w:rsid w:val="007A09EA"/>
    <w:rsid w:val="007A59BF"/>
    <w:rsid w:val="007B7F77"/>
    <w:rsid w:val="007C2173"/>
    <w:rsid w:val="007C575B"/>
    <w:rsid w:val="007C6BBD"/>
    <w:rsid w:val="007E1FC1"/>
    <w:rsid w:val="007F6E44"/>
    <w:rsid w:val="008122A0"/>
    <w:rsid w:val="0082705C"/>
    <w:rsid w:val="00834879"/>
    <w:rsid w:val="00834CC4"/>
    <w:rsid w:val="00847753"/>
    <w:rsid w:val="008515CE"/>
    <w:rsid w:val="00851CCB"/>
    <w:rsid w:val="00861146"/>
    <w:rsid w:val="00896D30"/>
    <w:rsid w:val="008A0ADE"/>
    <w:rsid w:val="008B6AF7"/>
    <w:rsid w:val="00900EBC"/>
    <w:rsid w:val="00907A02"/>
    <w:rsid w:val="0091473F"/>
    <w:rsid w:val="00930356"/>
    <w:rsid w:val="009330AA"/>
    <w:rsid w:val="0093510B"/>
    <w:rsid w:val="00936066"/>
    <w:rsid w:val="0094511E"/>
    <w:rsid w:val="0095067D"/>
    <w:rsid w:val="0096310B"/>
    <w:rsid w:val="00983BAF"/>
    <w:rsid w:val="00995F4C"/>
    <w:rsid w:val="009B04C8"/>
    <w:rsid w:val="009D1208"/>
    <w:rsid w:val="009D6CBC"/>
    <w:rsid w:val="00A12137"/>
    <w:rsid w:val="00A44F85"/>
    <w:rsid w:val="00A511C2"/>
    <w:rsid w:val="00A53F98"/>
    <w:rsid w:val="00A67E98"/>
    <w:rsid w:val="00A72047"/>
    <w:rsid w:val="00A8422A"/>
    <w:rsid w:val="00A8468D"/>
    <w:rsid w:val="00A85BAB"/>
    <w:rsid w:val="00AA0B00"/>
    <w:rsid w:val="00AA71F9"/>
    <w:rsid w:val="00AD621C"/>
    <w:rsid w:val="00AD78B1"/>
    <w:rsid w:val="00AE47A5"/>
    <w:rsid w:val="00AE7C6A"/>
    <w:rsid w:val="00B05F74"/>
    <w:rsid w:val="00B34FD2"/>
    <w:rsid w:val="00B752F2"/>
    <w:rsid w:val="00B81A34"/>
    <w:rsid w:val="00BB461C"/>
    <w:rsid w:val="00BC2B83"/>
    <w:rsid w:val="00BD5D7C"/>
    <w:rsid w:val="00BF2A7D"/>
    <w:rsid w:val="00C142E0"/>
    <w:rsid w:val="00C40F6B"/>
    <w:rsid w:val="00C555A2"/>
    <w:rsid w:val="00C61528"/>
    <w:rsid w:val="00C61F76"/>
    <w:rsid w:val="00C72A30"/>
    <w:rsid w:val="00C75673"/>
    <w:rsid w:val="00C84330"/>
    <w:rsid w:val="00C92175"/>
    <w:rsid w:val="00CC3F74"/>
    <w:rsid w:val="00CE4C5B"/>
    <w:rsid w:val="00D3046E"/>
    <w:rsid w:val="00DA655A"/>
    <w:rsid w:val="00DA6DA4"/>
    <w:rsid w:val="00DC5765"/>
    <w:rsid w:val="00DC6D71"/>
    <w:rsid w:val="00DD04CD"/>
    <w:rsid w:val="00DD48B1"/>
    <w:rsid w:val="00DD7AEF"/>
    <w:rsid w:val="00DE7A0E"/>
    <w:rsid w:val="00E04C3F"/>
    <w:rsid w:val="00E25548"/>
    <w:rsid w:val="00E45E63"/>
    <w:rsid w:val="00E478B9"/>
    <w:rsid w:val="00E52EFD"/>
    <w:rsid w:val="00E54789"/>
    <w:rsid w:val="00EA12D4"/>
    <w:rsid w:val="00EC5029"/>
    <w:rsid w:val="00F004DC"/>
    <w:rsid w:val="00F164D9"/>
    <w:rsid w:val="00F20327"/>
    <w:rsid w:val="00F60030"/>
    <w:rsid w:val="00F755E1"/>
    <w:rsid w:val="00F91976"/>
    <w:rsid w:val="00F920BD"/>
    <w:rsid w:val="00F945A2"/>
    <w:rsid w:val="00FB38D0"/>
    <w:rsid w:val="00FE63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0"/>
  </w:style>
  <w:style w:type="paragraph" w:styleId="Ttulo8">
    <w:name w:val="heading 8"/>
    <w:basedOn w:val="Normal"/>
    <w:next w:val="Normal"/>
    <w:link w:val="Ttulo8Char"/>
    <w:qFormat/>
    <w:rsid w:val="0093510B"/>
    <w:pPr>
      <w:keepNext/>
      <w:spacing w:after="0" w:line="480" w:lineRule="auto"/>
      <w:ind w:left="-540" w:right="-855"/>
      <w:outlineLvl w:val="7"/>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2C43"/>
    <w:pPr>
      <w:ind w:left="720"/>
      <w:contextualSpacing/>
    </w:pPr>
  </w:style>
  <w:style w:type="table" w:styleId="Tabelacomgrade">
    <w:name w:val="Table Grid"/>
    <w:basedOn w:val="Tabelanormal"/>
    <w:uiPriority w:val="59"/>
    <w:rsid w:val="00F75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C92175"/>
  </w:style>
  <w:style w:type="character" w:customStyle="1" w:styleId="Ttulo8Char">
    <w:name w:val="Título 8 Char"/>
    <w:basedOn w:val="Fontepargpadro"/>
    <w:link w:val="Ttulo8"/>
    <w:rsid w:val="0093510B"/>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9351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510B"/>
  </w:style>
  <w:style w:type="paragraph" w:styleId="Rodap">
    <w:name w:val="footer"/>
    <w:basedOn w:val="Normal"/>
    <w:link w:val="RodapChar"/>
    <w:uiPriority w:val="99"/>
    <w:unhideWhenUsed/>
    <w:rsid w:val="0093510B"/>
    <w:pPr>
      <w:tabs>
        <w:tab w:val="center" w:pos="4252"/>
        <w:tab w:val="right" w:pos="8504"/>
      </w:tabs>
      <w:spacing w:after="0" w:line="240" w:lineRule="auto"/>
    </w:pPr>
  </w:style>
  <w:style w:type="character" w:customStyle="1" w:styleId="RodapChar">
    <w:name w:val="Rodapé Char"/>
    <w:basedOn w:val="Fontepargpadro"/>
    <w:link w:val="Rodap"/>
    <w:uiPriority w:val="99"/>
    <w:rsid w:val="0093510B"/>
  </w:style>
  <w:style w:type="paragraph" w:styleId="Textodebalo">
    <w:name w:val="Balloon Text"/>
    <w:basedOn w:val="Normal"/>
    <w:link w:val="TextodebaloChar"/>
    <w:uiPriority w:val="99"/>
    <w:semiHidden/>
    <w:unhideWhenUsed/>
    <w:rsid w:val="0093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510B"/>
    <w:rPr>
      <w:rFonts w:ascii="Tahoma" w:hAnsi="Tahoma" w:cs="Tahoma"/>
      <w:sz w:val="16"/>
      <w:szCs w:val="16"/>
    </w:rPr>
  </w:style>
  <w:style w:type="paragraph" w:styleId="Textodenotaderodap">
    <w:name w:val="footnote text"/>
    <w:basedOn w:val="Normal"/>
    <w:link w:val="TextodenotaderodapChar"/>
    <w:uiPriority w:val="99"/>
    <w:semiHidden/>
    <w:unhideWhenUsed/>
    <w:rsid w:val="008B6A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6AF7"/>
    <w:rPr>
      <w:sz w:val="20"/>
      <w:szCs w:val="20"/>
    </w:rPr>
  </w:style>
  <w:style w:type="character" w:styleId="Refdenotaderodap">
    <w:name w:val="footnote reference"/>
    <w:basedOn w:val="Fontepargpadro"/>
    <w:uiPriority w:val="99"/>
    <w:semiHidden/>
    <w:unhideWhenUsed/>
    <w:rsid w:val="008B6AF7"/>
    <w:rPr>
      <w:vertAlign w:val="superscript"/>
    </w:rPr>
  </w:style>
  <w:style w:type="paragraph" w:customStyle="1" w:styleId="Contedodatabela">
    <w:name w:val="Conteúdo da tabela"/>
    <w:basedOn w:val="Normal"/>
    <w:rsid w:val="00005966"/>
    <w:pPr>
      <w:widowControl w:val="0"/>
      <w:suppressLineNumbers/>
      <w:suppressAutoHyphens/>
      <w:spacing w:after="0" w:line="240" w:lineRule="auto"/>
    </w:pPr>
    <w:rPr>
      <w:rFonts w:ascii="Times New Roman" w:eastAsia="Arial Unicode MS"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0"/>
  </w:style>
  <w:style w:type="paragraph" w:styleId="Ttulo8">
    <w:name w:val="heading 8"/>
    <w:basedOn w:val="Normal"/>
    <w:next w:val="Normal"/>
    <w:link w:val="Ttulo8Char"/>
    <w:qFormat/>
    <w:rsid w:val="0093510B"/>
    <w:pPr>
      <w:keepNext/>
      <w:spacing w:after="0" w:line="480" w:lineRule="auto"/>
      <w:ind w:left="-540" w:right="-855"/>
      <w:outlineLvl w:val="7"/>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2C43"/>
    <w:pPr>
      <w:ind w:left="720"/>
      <w:contextualSpacing/>
    </w:pPr>
  </w:style>
  <w:style w:type="table" w:styleId="Tabelacomgrade">
    <w:name w:val="Table Grid"/>
    <w:basedOn w:val="Tabelanormal"/>
    <w:uiPriority w:val="59"/>
    <w:rsid w:val="00F75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C92175"/>
  </w:style>
  <w:style w:type="character" w:customStyle="1" w:styleId="Ttulo8Char">
    <w:name w:val="Título 8 Char"/>
    <w:basedOn w:val="Fontepargpadro"/>
    <w:link w:val="Ttulo8"/>
    <w:rsid w:val="0093510B"/>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9351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510B"/>
  </w:style>
  <w:style w:type="paragraph" w:styleId="Rodap">
    <w:name w:val="footer"/>
    <w:basedOn w:val="Normal"/>
    <w:link w:val="RodapChar"/>
    <w:uiPriority w:val="99"/>
    <w:unhideWhenUsed/>
    <w:rsid w:val="0093510B"/>
    <w:pPr>
      <w:tabs>
        <w:tab w:val="center" w:pos="4252"/>
        <w:tab w:val="right" w:pos="8504"/>
      </w:tabs>
      <w:spacing w:after="0" w:line="240" w:lineRule="auto"/>
    </w:pPr>
  </w:style>
  <w:style w:type="character" w:customStyle="1" w:styleId="RodapChar">
    <w:name w:val="Rodapé Char"/>
    <w:basedOn w:val="Fontepargpadro"/>
    <w:link w:val="Rodap"/>
    <w:uiPriority w:val="99"/>
    <w:rsid w:val="0093510B"/>
  </w:style>
  <w:style w:type="paragraph" w:styleId="Textodebalo">
    <w:name w:val="Balloon Text"/>
    <w:basedOn w:val="Normal"/>
    <w:link w:val="TextodebaloChar"/>
    <w:uiPriority w:val="99"/>
    <w:semiHidden/>
    <w:unhideWhenUsed/>
    <w:rsid w:val="00935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510B"/>
    <w:rPr>
      <w:rFonts w:ascii="Tahoma" w:hAnsi="Tahoma" w:cs="Tahoma"/>
      <w:sz w:val="16"/>
      <w:szCs w:val="16"/>
    </w:rPr>
  </w:style>
  <w:style w:type="paragraph" w:styleId="Textodenotaderodap">
    <w:name w:val="footnote text"/>
    <w:basedOn w:val="Normal"/>
    <w:link w:val="TextodenotaderodapChar"/>
    <w:uiPriority w:val="99"/>
    <w:semiHidden/>
    <w:unhideWhenUsed/>
    <w:rsid w:val="008B6A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6AF7"/>
    <w:rPr>
      <w:sz w:val="20"/>
      <w:szCs w:val="20"/>
    </w:rPr>
  </w:style>
  <w:style w:type="character" w:styleId="Refdenotaderodap">
    <w:name w:val="footnote reference"/>
    <w:basedOn w:val="Fontepargpadro"/>
    <w:uiPriority w:val="99"/>
    <w:semiHidden/>
    <w:unhideWhenUsed/>
    <w:rsid w:val="008B6AF7"/>
    <w:rPr>
      <w:vertAlign w:val="superscript"/>
    </w:rPr>
  </w:style>
  <w:style w:type="paragraph" w:customStyle="1" w:styleId="Contedodatabela">
    <w:name w:val="Conteúdo da tabela"/>
    <w:basedOn w:val="Normal"/>
    <w:rsid w:val="00005966"/>
    <w:pPr>
      <w:widowControl w:val="0"/>
      <w:suppressLineNumbers/>
      <w:suppressAutoHyphens/>
      <w:spacing w:after="0" w:line="240" w:lineRule="auto"/>
    </w:pPr>
    <w:rPr>
      <w:rFonts w:ascii="Times New Roman" w:eastAsia="Arial Unicode MS"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DB0F4-D1BE-442F-8A6E-8061A79C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ITERPE</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clarissa.garcia</dc:creator>
  <cp:lastModifiedBy>Penha Lima</cp:lastModifiedBy>
  <cp:revision>2</cp:revision>
  <cp:lastPrinted>2018-08-20T12:09:00Z</cp:lastPrinted>
  <dcterms:created xsi:type="dcterms:W3CDTF">2020-11-16T15:46:00Z</dcterms:created>
  <dcterms:modified xsi:type="dcterms:W3CDTF">2020-11-16T15:46:00Z</dcterms:modified>
</cp:coreProperties>
</file>