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9C" w:rsidRPr="00B26072" w:rsidRDefault="00E3589C" w:rsidP="00172488">
      <w:pPr>
        <w:rPr>
          <w:b/>
          <w:bCs/>
        </w:rPr>
      </w:pPr>
      <w:r w:rsidRPr="00B26072">
        <w:rPr>
          <w:b/>
          <w:bCs/>
        </w:rPr>
        <w:t>RELATÓRIO DE ACOM</w:t>
      </w:r>
      <w:r>
        <w:rPr>
          <w:b/>
          <w:bCs/>
        </w:rPr>
        <w:t>PANHAMENTO DAS AÇÕES DO PPA 2012/ 2015</w:t>
      </w:r>
    </w:p>
    <w:p w:rsidR="00E3589C" w:rsidRPr="00B26072" w:rsidRDefault="00E3589C" w:rsidP="00172488">
      <w:pPr>
        <w:rPr>
          <w:b/>
          <w:bCs/>
        </w:rPr>
      </w:pPr>
      <w:r>
        <w:rPr>
          <w:b/>
          <w:bCs/>
        </w:rPr>
        <w:t>META</w:t>
      </w:r>
      <w:r w:rsidRPr="00B26072">
        <w:rPr>
          <w:b/>
          <w:bCs/>
        </w:rPr>
        <w:t xml:space="preserve"> DA AÇÃO SEGUNDO ÓRGÃO EXECUTOR, PRODUTOS E METAS FÍSICAS</w:t>
      </w:r>
    </w:p>
    <w:p w:rsidR="00E3589C" w:rsidRPr="00B26072" w:rsidRDefault="00E3589C" w:rsidP="00172488">
      <w:pPr>
        <w:rPr>
          <w:b/>
          <w:bCs/>
        </w:rPr>
      </w:pPr>
      <w:r w:rsidRPr="00B26072">
        <w:rPr>
          <w:b/>
          <w:bCs/>
        </w:rPr>
        <w:t>UNIDADE ORÇAMENTÁRIA: 00101 – GABINETE DO GOVERNADOR</w:t>
      </w:r>
    </w:p>
    <w:p w:rsidR="00E3589C" w:rsidRDefault="00E3589C" w:rsidP="00172488">
      <w:pPr>
        <w:rPr>
          <w:b/>
          <w:bCs/>
        </w:rPr>
      </w:pPr>
      <w:r>
        <w:rPr>
          <w:b/>
          <w:bCs/>
        </w:rPr>
        <w:t>EXERCÍCIO: 2013 (2º semestre)</w:t>
      </w:r>
    </w:p>
    <w:p w:rsidR="00E3589C" w:rsidRDefault="00E3589C" w:rsidP="00172488">
      <w:pPr>
        <w:rPr>
          <w:b/>
          <w:bCs/>
        </w:rPr>
      </w:pPr>
    </w:p>
    <w:p w:rsidR="00E3589C" w:rsidRDefault="00E3589C" w:rsidP="00172488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5940"/>
        <w:gridCol w:w="2079"/>
        <w:gridCol w:w="1985"/>
        <w:gridCol w:w="2486"/>
      </w:tblGrid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PROGRAMA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1001- DEMOCRATIZAÇÃO DA POLÍTICA PÚBLICA DE CULTURA</w:t>
            </w:r>
          </w:p>
        </w:tc>
        <w:tc>
          <w:tcPr>
            <w:tcW w:w="2079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Produto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86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Meta</w:t>
            </w: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Objetivo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Ampliar a participação da população nas regiões de desenvolvimento, sobretudo artistas e produtores culturais, através da criação do fundo estadual de cultura, consolidação da política e criação do conselho de políticas culturais.</w:t>
            </w:r>
          </w:p>
        </w:tc>
        <w:tc>
          <w:tcPr>
            <w:tcW w:w="2079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Ação Desenvolvida</w:t>
            </w:r>
          </w:p>
        </w:tc>
        <w:tc>
          <w:tcPr>
            <w:tcW w:w="1985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1</w:t>
            </w: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Atividade</w:t>
            </w: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1960 – Apoio Interinstitucional à disseminação da cultura pernambucana.</w:t>
            </w:r>
          </w:p>
        </w:tc>
        <w:tc>
          <w:tcPr>
            <w:tcW w:w="2079" w:type="dxa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Finalidade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 xml:space="preserve">Apoiar a disseminação da cultura pernambucana emtodo o Estado. </w:t>
            </w:r>
          </w:p>
        </w:tc>
        <w:tc>
          <w:tcPr>
            <w:tcW w:w="2079" w:type="dxa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rPr>
          <w:trHeight w:val="573"/>
        </w:trPr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Serviço Executado</w:t>
            </w:r>
          </w:p>
        </w:tc>
        <w:tc>
          <w:tcPr>
            <w:tcW w:w="12490" w:type="dxa"/>
            <w:gridSpan w:val="4"/>
          </w:tcPr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  <w:lang w:eastAsia="en-US"/>
              </w:rPr>
              <w:t>- Realização de 01 (uma) Aula-Espetáculo no município de: Olinda, Recife (03), Chã de Alegria, Cortês, Camocim de São Félix, Ipojuca e Ferreiros, beneficiando aproximadamente 5.493 pessoas.</w:t>
            </w:r>
          </w:p>
        </w:tc>
      </w:tr>
    </w:tbl>
    <w:p w:rsidR="00E3589C" w:rsidRDefault="00E3589C" w:rsidP="00172488">
      <w:pPr>
        <w:rPr>
          <w:b/>
          <w:bCs/>
        </w:rPr>
      </w:pPr>
    </w:p>
    <w:p w:rsidR="00E3589C" w:rsidRDefault="00E3589C" w:rsidP="00172488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5940"/>
        <w:gridCol w:w="2079"/>
        <w:gridCol w:w="1985"/>
        <w:gridCol w:w="2486"/>
      </w:tblGrid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PROGRAMA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0064 – GESTÃO SUPERIOR DO GOVERNO DO ESTADO</w:t>
            </w:r>
          </w:p>
        </w:tc>
        <w:tc>
          <w:tcPr>
            <w:tcW w:w="2079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Produto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86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Meta</w:t>
            </w: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Objetivo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Desenvolver ações de apoio aos processos e demandas sociais, regionais, institucionais e protocolares do Poder Executivo.</w:t>
            </w:r>
          </w:p>
        </w:tc>
        <w:tc>
          <w:tcPr>
            <w:tcW w:w="2079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Ação Desenvolvida</w:t>
            </w:r>
          </w:p>
        </w:tc>
        <w:tc>
          <w:tcPr>
            <w:tcW w:w="1985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1</w:t>
            </w: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Atividade</w:t>
            </w: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0068 – Promoção das Atividades Governamentais e de Representação Social ao Governador</w:t>
            </w:r>
          </w:p>
        </w:tc>
        <w:tc>
          <w:tcPr>
            <w:tcW w:w="2079" w:type="dxa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Finalidade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Promover as atividades governamentais e de representação social do Governador.</w:t>
            </w:r>
          </w:p>
        </w:tc>
        <w:tc>
          <w:tcPr>
            <w:tcW w:w="2079" w:type="dxa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rPr>
          <w:trHeight w:val="573"/>
        </w:trPr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Serviço Executado</w:t>
            </w:r>
          </w:p>
        </w:tc>
        <w:tc>
          <w:tcPr>
            <w:tcW w:w="12490" w:type="dxa"/>
            <w:gridSpan w:val="4"/>
          </w:tcPr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  <w:lang w:eastAsia="en-US"/>
              </w:rPr>
              <w:t xml:space="preserve">- O Governador assinou o projeto de lei que amplia os serviços do Programa </w:t>
            </w:r>
            <w:r w:rsidRPr="00973152">
              <w:rPr>
                <w:sz w:val="20"/>
                <w:szCs w:val="20"/>
                <w:u w:val="single"/>
                <w:lang w:eastAsia="en-US"/>
              </w:rPr>
              <w:t xml:space="preserve">Pernambuco Conduz, </w:t>
            </w:r>
            <w:r w:rsidRPr="00973152">
              <w:rPr>
                <w:sz w:val="20"/>
                <w:szCs w:val="20"/>
                <w:lang w:eastAsia="en-US"/>
              </w:rPr>
              <w:t>iniciado em agosto de 2011 para transportar gratuitamente pessoas com dificuldade de locomoção; Entrega de automóveis do ProgramaEspecial de Controle Urbano e Ambiental do Território Estratégico de Suape; visitou as obras de contenção do avanço do mar na orla de Pau Amarelo ( no município de Paulista (RD 12) e assinou a desapropriação de imóvel para a construção do mercado público de Paratibe; Participou da entrega em Lagoa de Itaenga de uma unidade do Serviço de Atendimento Móvel de Urgência  - SAMU 192 e inaugurou a Sala Vermelha da Unidade Mista do Município, equipada para receber casos com risco de morte (RD 11); Participou da entrega do Prêmio Naíde Teodósio de Estudos de Gênero; Vistoriou as obras de expansão do Hospital do Câncer de Pernambuco – HCP; Participou do Fórum Nordeste 2013, promovido pelo  Grupo EQM, no bairro do Recife (RD 12); Prestigiou o tradicional desfile cívico militar em comemoração ao 191º  aniversário da Independência do Brasil; Assinatura da ordem de serviço para as obras da Via Metropolitana  Norte (RD 12); Abertura do Seminário para orientar mulheres sobre preventivos contra cânceres de mama e do colo do útero; o Governador visitou a sede  de grandes empresas inglesas durante a missão pernambucana na Europa, objetivando firmar parcerias e atrair investimentos para o Estado nas áreas da saúde  e da mobilidade; Assinatura do convênio que garante a implantação dos Espaços de Conexão Cidadã na zona rural – Programa Pernambucano de Inclusão Sóciodigital – Conexão Cidadã; Abertura da 72ª Exposição Nordestina de Animais e Produtos Derivados, a maior do Norte/Nordeste; Assinatura do termo de adesão do Sistema Nacional de Cultura – SNC; Criação da Medalha Pernambucana do Mérito Musical Militar Capitão Zuzinha; Assinatura dos contratos de concessão dos lotes 1 (um) e 2 (dois) do Sistema de transporte público de passageiros e classificou a decisão “como um novo ciclo para o transporte público de Pernambuco”; Entregou o novo ambulatório do Hospital Barão de Lucena – HBL, no bairro da Iputinga no Recife (RD 12); Assinatura da emenda que mantêm inalterado status da Secretaria de Desenvolvimento Social e Direitos Humanos; Assinatura do Termo de Adesão do Estado do Sistema Nacional de Cultura; Participou da abertura da Conferência Estadual de Convivência com o Semiárido; Com a palestra “A Importância do Diálogo entre as Instituições”, o Governador abriu a Semana do Ministério Público de Pernambuco (MPPE), cujo tema este ano é o Direito a Qualidade de Vida. O Governador classificou como fundamental o diálogo entre os poderes constituintes e destacou o programa Pacto pela Vida; Assinatura dos Contratos de concessão dos lotes 112 do Sistema de Transporte Público de Passageiros e classificou a decisão “como um novo ciclo para o transporte público de Pernambuco; Participou da inauguração da fábrica de margarina da BRF, em Vitória de Santo Antão (RD 10); Lançamento do Projeto Racionalização de Despesas Correntes que limitou o gasto com a manutenção damáquina pública (custeio) em90% das despesas liquidadas em 2012; 148 alunos da rede estadual embarcaram para Nova Zelândia através do Programa Ganhe o Mundo; Condecorou 16 personalidades do Estado com a medalha da Ordem do Mérito Guararapes, a mais alta comenda concedida pelo poder público; Acompanhamento do Programa de Distribuição de cana de açúcar, através dos polos de distribuição para garantir a manutenção do rebanho que sofre  os efeitos da estiagem, informando que essa é uma ação pioneira da Operação Seca; Participação do lançamento do livro “Nova Fase da Lua:escultores populares de Pernambuco”; Prestigiou a pré – estréia da 46ª edição do espetáculo da Paixão de Cristo de Nova Jerusalém, em Brejo da Madre de Deus (RD 08); Recebeu o presidente do país, em Serra Talhada; Governador debateu a Medida Provisória  (MP) dos Portos e diz que acordo preservará a Federação; Participouda Abertura do encontro de alinhamento e integração dos Planos Operacionais da Copa das Confederações da FIFA Brasil/2013, evento preparatório para a Copa do Mundo de 2014; Anunciou a ampliação do Programa Patrulha dos Bairros – “Esse é um Programa Exitoso, que em apenas 6 (seis ) meses, reduziu em 27% os crimes contra o patrimônio”, disse o Governador, durante a entrega das 70(setenta) viaturas, no Centro de Convenções, sede provisória do Governo do Estado; Entrega do Hospital Municipal Maria Helena de Andrade Silva, situado no município de Jaqueira (RD 10); Participação da XVIII Reunião Ordinária do Conselho Deliberativo da SUDENE, em Fortaleza, onde ele alerta a necessidade de obras de infraestrutura e políticas públicas para o convívio com a seca; Assinatura de ordem de serviço de mais um trecho do corredor Norte/Sul; Inaugurada nova estrutura da Escola Estadual Guedes Alcoforado, no Varadouro – Olinda (RD 12); O Governador assinou, em Orocó, no Sertão do Estado, convênio com associaçõesde pequenos agricultores para a compra de merenda escolar destinada à rede pública de ensino; Governo leva a Cabrobó obras de cisternas e modelo de abatedouro; Início a programação 2013 do workshop “Pernambuco é só Chegar”, temos que fazer uma grande aposta na agricultura familiar brasileira, pois esse setor vai ser responsável por conter a crise causada pela estiagem; Em evento oficial de abertura, O governador e a Presidente Dilma Rousseff conferem primeiro Teste da Arena Pernambuco e lançaram o segundo navio produzido em Suape para a Petrobrás: Participação da abertura da 17ª Conferência Nacional da União dos Legisladores e Legislativos Estaduais, UNALE; Entrega da 1ª etapa do projeto de ampliação do Terminal Integrado do Barro; Anunciou o Plano de Aplicação para o Desenvolvimento Sustentável; Autorizou a construção da Adutora do Agreste.</w:t>
            </w:r>
          </w:p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</w:p>
        </w:tc>
      </w:tr>
    </w:tbl>
    <w:p w:rsidR="00E3589C" w:rsidRDefault="00E3589C" w:rsidP="00172488"/>
    <w:p w:rsidR="00E3589C" w:rsidRDefault="00E3589C" w:rsidP="00172488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5940"/>
        <w:gridCol w:w="2363"/>
        <w:gridCol w:w="425"/>
        <w:gridCol w:w="1276"/>
        <w:gridCol w:w="567"/>
        <w:gridCol w:w="1919"/>
      </w:tblGrid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PROGRAMA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0064 – GESTÃO SUPERIOR DO GOVERNO DO ESTADO</w:t>
            </w:r>
          </w:p>
        </w:tc>
        <w:tc>
          <w:tcPr>
            <w:tcW w:w="2788" w:type="dxa"/>
            <w:gridSpan w:val="2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Produto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19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Meta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Objetivo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Desenvolver ações de apoio aos processos e demandas sociais, regionais, institucionais e protocolares do Poder Executivo.</w:t>
            </w:r>
          </w:p>
        </w:tc>
        <w:tc>
          <w:tcPr>
            <w:tcW w:w="2788" w:type="dxa"/>
            <w:gridSpan w:val="2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Ação Planejada/Monitorada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1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Atividade</w:t>
            </w: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1948 – Coordenação e Articulação Social das Políticas Públicas do Governo do Estado</w:t>
            </w:r>
          </w:p>
        </w:tc>
        <w:tc>
          <w:tcPr>
            <w:tcW w:w="2788" w:type="dxa"/>
            <w:gridSpan w:val="2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Finalidade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Integrar as ações governamentais com os vários setores da sociedade civil.</w:t>
            </w:r>
          </w:p>
        </w:tc>
        <w:tc>
          <w:tcPr>
            <w:tcW w:w="2788" w:type="dxa"/>
            <w:gridSpan w:val="2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Serviço Executado</w:t>
            </w:r>
          </w:p>
        </w:tc>
        <w:tc>
          <w:tcPr>
            <w:tcW w:w="12490" w:type="dxa"/>
            <w:gridSpan w:val="6"/>
          </w:tcPr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 xml:space="preserve">- No que concerne à </w:t>
            </w:r>
            <w:r w:rsidRPr="00973152">
              <w:rPr>
                <w:b/>
                <w:bCs/>
                <w:sz w:val="20"/>
                <w:szCs w:val="20"/>
              </w:rPr>
              <w:t>Implementação e Monitoramento de Políticas de Segurança Pública</w:t>
            </w:r>
            <w:r w:rsidRPr="00973152">
              <w:rPr>
                <w:sz w:val="20"/>
                <w:szCs w:val="20"/>
              </w:rPr>
              <w:t xml:space="preserve"> foram efetuadas as atividades seguintes: Participação e acompanhamento permanente das reuniões do Comitê Gestor do Pacto Pela Vida e de suas câmaras técnicas; Produção de relatórios analíticos relativos ao acompanhamento das políticas públicas de segurança no Estado; Participação e acompanhamento nas reuniões das câmaras técnicas de Prevenção da Violência a Articulação com o Ministério Público e o Judiciário, no âmbito do Pacto Pela Vida; Participação em Seminários, Congressos e Workshop, em Pernambuco e em outros Estados, para apresentação da concepção, da implantação e dos resultados do Pacto Pela Vida.</w:t>
            </w:r>
          </w:p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 xml:space="preserve"> - No tocante á </w:t>
            </w:r>
            <w:r w:rsidRPr="00973152">
              <w:rPr>
                <w:b/>
                <w:bCs/>
                <w:sz w:val="20"/>
                <w:szCs w:val="20"/>
              </w:rPr>
              <w:t>Promoção da Igualdade Racial</w:t>
            </w:r>
            <w:r w:rsidRPr="00973152">
              <w:rPr>
                <w:sz w:val="20"/>
                <w:szCs w:val="20"/>
              </w:rPr>
              <w:t>foram realizadas as seguintes atividades:Enfrentamento ao racismo institucional e a prevenção às violências simbólicas; Vem fortalecendo encontros, seminários, fóruns, caminhadas, cursos de curta e longa duração; curso de 360 horas em convênio com a universidade Católica de Pernambuco e Fundação de Ensino Superior de Olinda – FUNESO; Participação efetiva em temas nacionais e construção do Plano Estadual de Desenvolvimento Sustentável para Povos de Comunidades de Terreiros de Pernambuco; Curso sobre a Lei10.639-03, em parceria  com a Universidade Católica de Pernambuco para professores, pesquisadores e povos de comunidades tradicionais de terreiros; 10 oficinas e encontros para a construção do PLANEPIR – Plano Estadual de Promoção  da Igualdade Racial; Escolha de 2 (dois) membros para estar presente nas conferências regional, estadual e nacional da política do PIR; Oficinas de encontros nas comunidades quilombolas, para  o fortalecimento dos eixos norteadores da conferência nacional de educação – Educação Quilombola; Apoio aos movimentos sociais para o empoderamento das políticas de PIR e  das relações etnicorraciais.</w:t>
            </w:r>
            <w:bookmarkStart w:id="0" w:name="_GoBack"/>
            <w:bookmarkEnd w:id="0"/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PROGRAMA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0985 – APOIO GERENCIAL E TECNOLÓGICO ÀS AÇÕES DO GABINETE DO GOVERNADOR</w:t>
            </w:r>
          </w:p>
        </w:tc>
        <w:tc>
          <w:tcPr>
            <w:tcW w:w="2363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Produto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Meta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Objetivo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Coordenar e Implementar as políticas, diretrizes e objetivos do Gabinete do Governador e assegurar o suporte administrativo e tecnológico necessário ao seu desempenho.</w:t>
            </w:r>
          </w:p>
        </w:tc>
        <w:tc>
          <w:tcPr>
            <w:tcW w:w="2363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Prédio Mantido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3</w:t>
            </w: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Atividade</w:t>
            </w: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0424 – Manutenção dos Prédios da Governadoria</w:t>
            </w:r>
          </w:p>
        </w:tc>
        <w:tc>
          <w:tcPr>
            <w:tcW w:w="2363" w:type="dxa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Finalidade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 xml:space="preserve">Manter os prédios da Governadoria em perfeito estado,para o bom desempenho de suas atividades. </w:t>
            </w:r>
          </w:p>
        </w:tc>
        <w:tc>
          <w:tcPr>
            <w:tcW w:w="2363" w:type="dxa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Serviço Executado</w:t>
            </w:r>
          </w:p>
        </w:tc>
        <w:tc>
          <w:tcPr>
            <w:tcW w:w="12490" w:type="dxa"/>
            <w:gridSpan w:val="6"/>
          </w:tcPr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 xml:space="preserve"> - Realização de manutenções preventivas e corretivas, tais como: limpeza e conservação, serviços especializados (eletricista, marceneiro, encanador, etc), elevadores, dedetização, freezers e geladeiras, como também, pintura de diversas áreas da Governadoria.</w:t>
            </w:r>
          </w:p>
        </w:tc>
      </w:tr>
      <w:tr w:rsidR="00E3589C">
        <w:tc>
          <w:tcPr>
            <w:tcW w:w="1728" w:type="dxa"/>
            <w:tcBorders>
              <w:left w:val="nil"/>
              <w:right w:val="nil"/>
            </w:tcBorders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90" w:type="dxa"/>
            <w:gridSpan w:val="6"/>
            <w:tcBorders>
              <w:left w:val="nil"/>
              <w:right w:val="nil"/>
            </w:tcBorders>
          </w:tcPr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PROGRAMA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0985 – APOIO GERENCIAL E TECNOLÓGICO ÀS AÇÕES DO GABINETE DO GOVERNADOR</w:t>
            </w:r>
          </w:p>
        </w:tc>
        <w:tc>
          <w:tcPr>
            <w:tcW w:w="2363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Produto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Meta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Objetivo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Coordenar e Implementar as políticas, diretrizes e objetivos do Gabinete do Governador e assegurar o suporte administrativo e tecnológico necessário ao seu desempenho.</w:t>
            </w:r>
          </w:p>
        </w:tc>
        <w:tc>
          <w:tcPr>
            <w:tcW w:w="2363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Servidor Capacitado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4</w:t>
            </w: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Atividade</w:t>
            </w: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2264 – Capacitação de Recursos Humanos do Gabinete do Governador</w:t>
            </w:r>
          </w:p>
        </w:tc>
        <w:tc>
          <w:tcPr>
            <w:tcW w:w="2363" w:type="dxa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Finalidade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Elevar o nível de desempenho do corpo funcional do Gabinete do Governador</w:t>
            </w:r>
          </w:p>
        </w:tc>
        <w:tc>
          <w:tcPr>
            <w:tcW w:w="2363" w:type="dxa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Serviço Executado</w:t>
            </w:r>
          </w:p>
        </w:tc>
        <w:tc>
          <w:tcPr>
            <w:tcW w:w="12490" w:type="dxa"/>
            <w:gridSpan w:val="6"/>
          </w:tcPr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 xml:space="preserve"> - Procurando elevar profissionalmente o nível de desempenho do corpo funcional do Gabinete do Governador, foram capacitados 03 (três) servidores, sendo: um (01) no Curso de Modelagem de Processos: Uma Abordagem Prática com uso de BPMN; 01 (um) no Programa de Capacitação em GestãoPatrimonial; 01(um) em Capacitação dos Gestores dos Serviços de Infraestrutura em Telefonia Fixa; </w:t>
            </w:r>
          </w:p>
        </w:tc>
      </w:tr>
    </w:tbl>
    <w:p w:rsidR="00E3589C" w:rsidRDefault="00E3589C" w:rsidP="00172488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5940"/>
        <w:gridCol w:w="2788"/>
        <w:gridCol w:w="425"/>
        <w:gridCol w:w="1276"/>
        <w:gridCol w:w="284"/>
        <w:gridCol w:w="1777"/>
      </w:tblGrid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PROGRAMA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0985 – APOIO GERENCIAL E TECNOLÓGICO ÀS AÇÕES DO GABINETE DO GOVERNADOR</w:t>
            </w:r>
          </w:p>
        </w:tc>
        <w:tc>
          <w:tcPr>
            <w:tcW w:w="2788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Produto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Meta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Objetivo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Coordenar e Implementar as políticas, diretrizes e objetivos do Gabinete do Governador e assegurar o suporte administrativo e tecnológico necessário ao seu desempenho.</w:t>
            </w:r>
          </w:p>
        </w:tc>
        <w:tc>
          <w:tcPr>
            <w:tcW w:w="2788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Acesso Instalado/ Serviço Disponibizado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1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Atividade</w:t>
            </w: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2289 – Operacionalização do Acesso à Rede Digital Corporativa de Governo do Gabinete do Governador</w:t>
            </w:r>
          </w:p>
        </w:tc>
        <w:tc>
          <w:tcPr>
            <w:tcW w:w="2788" w:type="dxa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Finalidade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Efecientizar a estrutura de serviços de comunicação de dados, voz, imagem e videoconferência, utilizada para a consecução das atividades necessárias à prestação de serviços da instituição, através do acesso e serviços da Rede Digital Corporativa de Governo.</w:t>
            </w:r>
          </w:p>
        </w:tc>
        <w:tc>
          <w:tcPr>
            <w:tcW w:w="2788" w:type="dxa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Serviço Executado</w:t>
            </w:r>
          </w:p>
        </w:tc>
        <w:tc>
          <w:tcPr>
            <w:tcW w:w="12490" w:type="dxa"/>
            <w:gridSpan w:val="6"/>
          </w:tcPr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- Link ampliado de para 10M.</w:t>
            </w:r>
          </w:p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PROGRAMA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0985 – APOIO GERENCIAL E TECNOLÓGICO ÀS AÇÕES DO GABINETE DO GOVERNADOR</w:t>
            </w:r>
          </w:p>
        </w:tc>
        <w:tc>
          <w:tcPr>
            <w:tcW w:w="3213" w:type="dxa"/>
            <w:gridSpan w:val="2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Produto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2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Meta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Objetivo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Coordenar e Implementar as políticas, diretrizes e objetivos do Gabinete do Governador e assegurar o suporte administrativo e tecnológico necessário ao seu desempenho.</w:t>
            </w:r>
          </w:p>
        </w:tc>
        <w:tc>
          <w:tcPr>
            <w:tcW w:w="3213" w:type="dxa"/>
            <w:gridSpan w:val="2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Medida Planejada Implantada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2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1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Atividade</w:t>
            </w: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4364 – Suporte às Atividades Fins do Gabinete do Governador</w:t>
            </w:r>
          </w:p>
        </w:tc>
        <w:tc>
          <w:tcPr>
            <w:tcW w:w="3213" w:type="dxa"/>
            <w:gridSpan w:val="2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2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Finalidade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Coordenar o processo de planejamento, orçamentação e monitoramento das ações do Gabinete do Governador eexecutar as atividades de suporte administrativo à gestão dos seus pontos finalísticos</w:t>
            </w:r>
          </w:p>
        </w:tc>
        <w:tc>
          <w:tcPr>
            <w:tcW w:w="3213" w:type="dxa"/>
            <w:gridSpan w:val="2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2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Serviço Executado</w:t>
            </w:r>
          </w:p>
        </w:tc>
        <w:tc>
          <w:tcPr>
            <w:tcW w:w="12490" w:type="dxa"/>
            <w:gridSpan w:val="6"/>
          </w:tcPr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- Foram realizadas atividades em consonância com a Gerência Geral de Gestão, necessárias ao desenvolvimento dos instrumentos de planejamento, tais como: Demonstrativos Financeiros/Orçamentários, Suplementações e Remanejamentos Orçamentários, Planilha das Necessidades para Elaboração do Orçamento 2014, referente ao Gabinete do Governador; Discussão sobre os cenários fiscais de Médio Prazo – Pactuação das Metas para 2014;</w:t>
            </w:r>
          </w:p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 xml:space="preserve"> - Executados os serviços de natureza financeira, de pessoal, de material e patrimônio, imprescindíveis ao desempenho dos Programas Finalísticos do Órgão.</w:t>
            </w:r>
          </w:p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</w:p>
        </w:tc>
      </w:tr>
    </w:tbl>
    <w:p w:rsidR="00E3589C" w:rsidRDefault="00E3589C" w:rsidP="00172488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5940"/>
        <w:gridCol w:w="1620"/>
        <w:gridCol w:w="1440"/>
        <w:gridCol w:w="3490"/>
      </w:tblGrid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PROGRAMA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0985 – APOIO GERENCIAL E TECNOLÓGICO ÀS AÇÕES DO GABINETE DO GOVERNADOR</w:t>
            </w:r>
          </w:p>
        </w:tc>
        <w:tc>
          <w:tcPr>
            <w:tcW w:w="1620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Produto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90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Meta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Objetivo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Coordenar e Implementar as políticas, diretrizes e objetivos do Gabinete do Governador e assegurar o suporte administrativo e tecnológico necessário ao seu desempenho.</w:t>
            </w:r>
          </w:p>
        </w:tc>
        <w:tc>
          <w:tcPr>
            <w:tcW w:w="1620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-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-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-</w:t>
            </w: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Operação Especial</w:t>
            </w: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 xml:space="preserve">0416 – Contribuições Patronais no Gabinete do Governador ao FUNAFIN </w:t>
            </w:r>
          </w:p>
        </w:tc>
        <w:tc>
          <w:tcPr>
            <w:tcW w:w="1620" w:type="dxa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Serviço Executado</w:t>
            </w:r>
          </w:p>
        </w:tc>
        <w:tc>
          <w:tcPr>
            <w:tcW w:w="12490" w:type="dxa"/>
            <w:gridSpan w:val="4"/>
          </w:tcPr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- Contribuição Mensal Efetuada.</w:t>
            </w:r>
          </w:p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</w:p>
        </w:tc>
      </w:tr>
    </w:tbl>
    <w:p w:rsidR="00E3589C" w:rsidRDefault="00E3589C" w:rsidP="00172488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5940"/>
        <w:gridCol w:w="1620"/>
        <w:gridCol w:w="1440"/>
        <w:gridCol w:w="3490"/>
      </w:tblGrid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PROGRAMA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0985 – APOIO GERENCIAL E TECNOLÓGICO ÀS AÇÕES DA GABINETE DO GOVERNADOR</w:t>
            </w:r>
          </w:p>
        </w:tc>
        <w:tc>
          <w:tcPr>
            <w:tcW w:w="1620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Produto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90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Meta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Valor</w:t>
            </w: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Objetivo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Coordenar e Implementar as políticas, diretrizes e objetivos do Gabinete do Governador e assegurar o suporte administrativo e tecnológico necessário ao seu desempenho.</w:t>
            </w:r>
          </w:p>
        </w:tc>
        <w:tc>
          <w:tcPr>
            <w:tcW w:w="1620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-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-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-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Operação Especial</w:t>
            </w: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0418 – Devolução de Saldo de Recursos de Convênio do Gabinete do Governador</w:t>
            </w:r>
          </w:p>
        </w:tc>
        <w:tc>
          <w:tcPr>
            <w:tcW w:w="1620" w:type="dxa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Serviço Executado</w:t>
            </w:r>
          </w:p>
        </w:tc>
        <w:tc>
          <w:tcPr>
            <w:tcW w:w="12490" w:type="dxa"/>
            <w:gridSpan w:val="4"/>
          </w:tcPr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- Não houve devolução de convênios no Gabinete do Governador, no referido período.</w:t>
            </w:r>
          </w:p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PROGRAMA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0985 – APOIO GERENCIAL E TECNOLÓGICO ÀS AÇÕES DO GABINETE DO GOVERNADOR</w:t>
            </w:r>
          </w:p>
        </w:tc>
        <w:tc>
          <w:tcPr>
            <w:tcW w:w="1620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Produto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90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Meta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Objetivo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Coordenar e Implementar as políticas, diretrizes e objetivos do Gabinete do Governador e assegurar o suporte administrativo e tecnológico necessário ao seu desempenho.</w:t>
            </w:r>
          </w:p>
        </w:tc>
        <w:tc>
          <w:tcPr>
            <w:tcW w:w="1620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-</w:t>
            </w:r>
          </w:p>
        </w:tc>
        <w:tc>
          <w:tcPr>
            <w:tcW w:w="3490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-</w:t>
            </w: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Operação Especial</w:t>
            </w: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0420 – Concessão de Vale Transporte e Auxílio Alimentação a Servidores do Gabinete do Governador</w:t>
            </w:r>
          </w:p>
        </w:tc>
        <w:tc>
          <w:tcPr>
            <w:tcW w:w="1620" w:type="dxa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Serviço Executado</w:t>
            </w:r>
          </w:p>
        </w:tc>
        <w:tc>
          <w:tcPr>
            <w:tcW w:w="12490" w:type="dxa"/>
            <w:gridSpan w:val="4"/>
          </w:tcPr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 xml:space="preserve"> - Foram distribuídos mensalmente o vale transporte a 22 servidores no Gabinete do Governador ( não paga vale alimentação).</w:t>
            </w:r>
          </w:p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</w:p>
        </w:tc>
      </w:tr>
    </w:tbl>
    <w:p w:rsidR="00E3589C" w:rsidRDefault="00E3589C" w:rsidP="00172488"/>
    <w:p w:rsidR="00E3589C" w:rsidRDefault="00E3589C" w:rsidP="00172488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5940"/>
        <w:gridCol w:w="1620"/>
        <w:gridCol w:w="1440"/>
        <w:gridCol w:w="3490"/>
      </w:tblGrid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PROGRAMA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0985 – APOIO GERENCIAL E TECNOLÓGICO ÀS AÇÕES DO GABINETE DO GOVERNADOR</w:t>
            </w:r>
          </w:p>
        </w:tc>
        <w:tc>
          <w:tcPr>
            <w:tcW w:w="1620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Produto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90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Meta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Objetivo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Coordenar e Implementar as políticas, diretrizes e objetivos do Gabinete do Governador e assegurar o suporte administrativo e tecnológico necessário ao seu desempenho.</w:t>
            </w:r>
          </w:p>
        </w:tc>
        <w:tc>
          <w:tcPr>
            <w:tcW w:w="1620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--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--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-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Operação Especial</w:t>
            </w: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0546 – Ressarcimento de Despesas de Pessoal à Disposição do Gabinete do Governador</w:t>
            </w:r>
          </w:p>
        </w:tc>
        <w:tc>
          <w:tcPr>
            <w:tcW w:w="1620" w:type="dxa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Serviço Executado</w:t>
            </w:r>
          </w:p>
        </w:tc>
        <w:tc>
          <w:tcPr>
            <w:tcW w:w="12490" w:type="dxa"/>
            <w:gridSpan w:val="4"/>
          </w:tcPr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- Firmados convênios de cooperação técnica para o ressarcimento de despesas de pessoal à disposição do Gabinete do Governador com a Companhia Brasileira de Trens Urbanos – CBTU; Universidade Federal de Pernambuco – UFPE; Prefeitura da Cidade do Recife (PCR); Companhia Hidrelétrica São Francisco – CHESF e Tribunal Regional do Trabalho – TRT.</w:t>
            </w:r>
          </w:p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</w:p>
        </w:tc>
      </w:tr>
    </w:tbl>
    <w:p w:rsidR="00E3589C" w:rsidRDefault="00E3589C" w:rsidP="00172488"/>
    <w:p w:rsidR="00E3589C" w:rsidRDefault="00E3589C" w:rsidP="00172488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5940"/>
        <w:gridCol w:w="2221"/>
        <w:gridCol w:w="1418"/>
        <w:gridCol w:w="2911"/>
      </w:tblGrid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PROGRAMA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0985 – APOIO GERENCIAL E TECNOLÓGICO ÀS AÇÕES DO GABINETE DO GOVERNADOR</w:t>
            </w:r>
          </w:p>
        </w:tc>
        <w:tc>
          <w:tcPr>
            <w:tcW w:w="2221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Produto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11" w:type="dxa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Meta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Objetivo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Coordenar e Implementar as políticas, diretrizes e objetivos do Gabinete do Governador e assegurar o suporte administrativo e tecnológico necessário ao seu desempenho.</w:t>
            </w:r>
          </w:p>
        </w:tc>
        <w:tc>
          <w:tcPr>
            <w:tcW w:w="2221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Prédio Recuperado</w:t>
            </w:r>
          </w:p>
        </w:tc>
        <w:tc>
          <w:tcPr>
            <w:tcW w:w="1418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Unidade</w:t>
            </w: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1" w:type="dxa"/>
            <w:vMerge w:val="restart"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3</w:t>
            </w: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Projeto</w:t>
            </w:r>
          </w:p>
        </w:tc>
        <w:tc>
          <w:tcPr>
            <w:tcW w:w="5940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4029 – Recuperação e Adequação dos Prédios da Governadoria</w:t>
            </w:r>
          </w:p>
        </w:tc>
        <w:tc>
          <w:tcPr>
            <w:tcW w:w="2221" w:type="dxa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Finalidade</w:t>
            </w:r>
          </w:p>
        </w:tc>
        <w:tc>
          <w:tcPr>
            <w:tcW w:w="5940" w:type="dxa"/>
          </w:tcPr>
          <w:p w:rsidR="00E3589C" w:rsidRPr="00973152" w:rsidRDefault="00E3589C" w:rsidP="0044227A">
            <w:pPr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Dotar a Governadoria do Estado de espaço físico adequado ao seu pleno funcionamento</w:t>
            </w:r>
          </w:p>
        </w:tc>
        <w:tc>
          <w:tcPr>
            <w:tcW w:w="2221" w:type="dxa"/>
            <w:vMerge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:rsidR="00E3589C" w:rsidRPr="00973152" w:rsidRDefault="00E3589C" w:rsidP="009731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89C">
        <w:tc>
          <w:tcPr>
            <w:tcW w:w="1728" w:type="dxa"/>
          </w:tcPr>
          <w:p w:rsidR="00E3589C" w:rsidRPr="00973152" w:rsidRDefault="00E3589C" w:rsidP="00973152">
            <w:pPr>
              <w:spacing w:line="360" w:lineRule="auto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Serviço Executado</w:t>
            </w:r>
          </w:p>
        </w:tc>
        <w:tc>
          <w:tcPr>
            <w:tcW w:w="12490" w:type="dxa"/>
            <w:gridSpan w:val="4"/>
          </w:tcPr>
          <w:p w:rsidR="00E3589C" w:rsidRPr="00973152" w:rsidRDefault="00E3589C" w:rsidP="00973152">
            <w:pPr>
              <w:jc w:val="both"/>
              <w:rPr>
                <w:sz w:val="20"/>
                <w:szCs w:val="20"/>
              </w:rPr>
            </w:pPr>
            <w:r w:rsidRPr="00973152">
              <w:rPr>
                <w:sz w:val="20"/>
                <w:szCs w:val="20"/>
              </w:rPr>
              <w:t>- Continuação do gerenciamento das obras de restauração do Palácio do Campo das Princesas; Contratação dos serviços de limpeza, manutenção de frízer e geladeiras e etc.</w:t>
            </w:r>
          </w:p>
        </w:tc>
      </w:tr>
    </w:tbl>
    <w:p w:rsidR="00E3589C" w:rsidRDefault="00E3589C" w:rsidP="00172488"/>
    <w:p w:rsidR="00E3589C" w:rsidRDefault="00E3589C"/>
    <w:sectPr w:rsidR="00E3589C" w:rsidSect="009D0847">
      <w:pgSz w:w="16838" w:h="11906" w:orient="landscape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488"/>
    <w:rsid w:val="00033324"/>
    <w:rsid w:val="0004202B"/>
    <w:rsid w:val="00050A22"/>
    <w:rsid w:val="0005796A"/>
    <w:rsid w:val="00070182"/>
    <w:rsid w:val="00073086"/>
    <w:rsid w:val="001119B2"/>
    <w:rsid w:val="001149AD"/>
    <w:rsid w:val="00125ABE"/>
    <w:rsid w:val="00143F92"/>
    <w:rsid w:val="00172488"/>
    <w:rsid w:val="001A2790"/>
    <w:rsid w:val="001A7E6A"/>
    <w:rsid w:val="001F379B"/>
    <w:rsid w:val="0020163D"/>
    <w:rsid w:val="00210C95"/>
    <w:rsid w:val="0024407A"/>
    <w:rsid w:val="00245C3F"/>
    <w:rsid w:val="00261B21"/>
    <w:rsid w:val="00270266"/>
    <w:rsid w:val="00275174"/>
    <w:rsid w:val="002A7F9E"/>
    <w:rsid w:val="002F080D"/>
    <w:rsid w:val="002F1D26"/>
    <w:rsid w:val="003102E3"/>
    <w:rsid w:val="00347113"/>
    <w:rsid w:val="003743CA"/>
    <w:rsid w:val="003816EE"/>
    <w:rsid w:val="003A764E"/>
    <w:rsid w:val="003C7A66"/>
    <w:rsid w:val="003E59A4"/>
    <w:rsid w:val="0042184D"/>
    <w:rsid w:val="0044227A"/>
    <w:rsid w:val="004C77F5"/>
    <w:rsid w:val="005463BD"/>
    <w:rsid w:val="005B2709"/>
    <w:rsid w:val="005B33F4"/>
    <w:rsid w:val="005D11C4"/>
    <w:rsid w:val="005D1A8C"/>
    <w:rsid w:val="00672A7A"/>
    <w:rsid w:val="006A750E"/>
    <w:rsid w:val="006B047F"/>
    <w:rsid w:val="007547CD"/>
    <w:rsid w:val="00771BEB"/>
    <w:rsid w:val="00791101"/>
    <w:rsid w:val="007B3B6B"/>
    <w:rsid w:val="00882456"/>
    <w:rsid w:val="00885790"/>
    <w:rsid w:val="008A53AF"/>
    <w:rsid w:val="008C7A18"/>
    <w:rsid w:val="008D3E5D"/>
    <w:rsid w:val="00904747"/>
    <w:rsid w:val="00913536"/>
    <w:rsid w:val="00913EFA"/>
    <w:rsid w:val="009201A4"/>
    <w:rsid w:val="009322F0"/>
    <w:rsid w:val="00973152"/>
    <w:rsid w:val="009D0847"/>
    <w:rsid w:val="009F0BD9"/>
    <w:rsid w:val="00A15381"/>
    <w:rsid w:val="00A17302"/>
    <w:rsid w:val="00A221A5"/>
    <w:rsid w:val="00A45A5F"/>
    <w:rsid w:val="00A70E95"/>
    <w:rsid w:val="00AB1063"/>
    <w:rsid w:val="00B139F0"/>
    <w:rsid w:val="00B1568D"/>
    <w:rsid w:val="00B26072"/>
    <w:rsid w:val="00B33319"/>
    <w:rsid w:val="00B43404"/>
    <w:rsid w:val="00B6292C"/>
    <w:rsid w:val="00BA251A"/>
    <w:rsid w:val="00BA6C2D"/>
    <w:rsid w:val="00BD010F"/>
    <w:rsid w:val="00C10843"/>
    <w:rsid w:val="00C849EB"/>
    <w:rsid w:val="00CC63B7"/>
    <w:rsid w:val="00CC7896"/>
    <w:rsid w:val="00CE5EEF"/>
    <w:rsid w:val="00D05F96"/>
    <w:rsid w:val="00D26210"/>
    <w:rsid w:val="00D30B0A"/>
    <w:rsid w:val="00D471D9"/>
    <w:rsid w:val="00D60BE9"/>
    <w:rsid w:val="00D8469B"/>
    <w:rsid w:val="00D976EC"/>
    <w:rsid w:val="00DA2242"/>
    <w:rsid w:val="00DA42FF"/>
    <w:rsid w:val="00DA75D5"/>
    <w:rsid w:val="00DB3AC2"/>
    <w:rsid w:val="00E1657A"/>
    <w:rsid w:val="00E3589C"/>
    <w:rsid w:val="00E55A6A"/>
    <w:rsid w:val="00E56CD8"/>
    <w:rsid w:val="00E721E3"/>
    <w:rsid w:val="00F071C0"/>
    <w:rsid w:val="00F071D8"/>
    <w:rsid w:val="00F12F28"/>
    <w:rsid w:val="00F33DB8"/>
    <w:rsid w:val="00F551FD"/>
    <w:rsid w:val="00F66B3B"/>
    <w:rsid w:val="00F82EFD"/>
    <w:rsid w:val="00FA024C"/>
    <w:rsid w:val="00FD5E52"/>
    <w:rsid w:val="00FD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24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2533</Words>
  <Characters>13684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ACOMPANHAMENTO DAS AÇÕES DO PPA 2012/ 2015</dc:title>
  <dc:subject/>
  <dc:creator>rafaella.lemos</dc:creator>
  <cp:keywords/>
  <dc:description/>
  <cp:lastModifiedBy>rafaella.lemos</cp:lastModifiedBy>
  <cp:revision>2</cp:revision>
  <dcterms:created xsi:type="dcterms:W3CDTF">2014-02-19T11:47:00Z</dcterms:created>
  <dcterms:modified xsi:type="dcterms:W3CDTF">2014-02-19T11:47:00Z</dcterms:modified>
</cp:coreProperties>
</file>